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ECDF2" w14:textId="4131BDDF" w:rsidR="00C64B60" w:rsidRPr="00C64B60" w:rsidRDefault="00C64B60" w:rsidP="00C64B60">
      <w:pPr>
        <w:jc w:val="center"/>
        <w:rPr>
          <w:rFonts w:ascii="Times New Roman" w:hAnsi="Times New Roman" w:cs="Times New Roman"/>
          <w:b/>
          <w:bCs/>
          <w:sz w:val="24"/>
          <w:szCs w:val="24"/>
        </w:rPr>
      </w:pPr>
      <w:r w:rsidRPr="00C64B60">
        <w:rPr>
          <w:rFonts w:ascii="Times New Roman" w:hAnsi="Times New Roman" w:cs="Times New Roman"/>
          <w:b/>
          <w:bCs/>
          <w:sz w:val="24"/>
          <w:szCs w:val="24"/>
        </w:rPr>
        <w:t>Pamatprasības, kas jāņem vērā, iesniedzot pieteikumu</w:t>
      </w:r>
    </w:p>
    <w:p w14:paraId="44090C45" w14:textId="77777777" w:rsid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Sekmīgai pieteikuma virzībai tiesā ir svarīgi ievērot pieteikuma formas un satura prasības, kas ir noteiktas Administratīvā procesa likuma 186.pantā. Tāpat pieteikumam ir jāpievieno Administratīvā procesa likuma 187.pantā norādītie dokumenti, kā arī parasti par pieteikumu ir jāmaksā valsts nodeva. </w:t>
      </w:r>
    </w:p>
    <w:p w14:paraId="5B88FD64" w14:textId="77777777" w:rsidR="00D2619E" w:rsidRPr="00C64B60" w:rsidRDefault="00D2619E" w:rsidP="00D2619E">
      <w:pPr>
        <w:spacing w:after="0"/>
        <w:ind w:firstLine="720"/>
        <w:jc w:val="both"/>
        <w:rPr>
          <w:rFonts w:ascii="Times New Roman" w:hAnsi="Times New Roman" w:cs="Times New Roman"/>
          <w:sz w:val="24"/>
          <w:szCs w:val="24"/>
        </w:rPr>
      </w:pPr>
    </w:p>
    <w:p w14:paraId="6EA189BF" w14:textId="77777777" w:rsidR="00C64B60" w:rsidRPr="00D2619E" w:rsidRDefault="00C64B60" w:rsidP="00D2619E">
      <w:pPr>
        <w:spacing w:after="0"/>
        <w:jc w:val="both"/>
        <w:rPr>
          <w:rFonts w:ascii="Times New Roman" w:hAnsi="Times New Roman" w:cs="Times New Roman"/>
          <w:sz w:val="24"/>
          <w:szCs w:val="24"/>
          <w:u w:val="single"/>
        </w:rPr>
      </w:pPr>
      <w:r w:rsidRPr="00D2619E">
        <w:rPr>
          <w:rFonts w:ascii="Times New Roman" w:hAnsi="Times New Roman" w:cs="Times New Roman"/>
          <w:sz w:val="24"/>
          <w:szCs w:val="24"/>
          <w:u w:val="single"/>
        </w:rPr>
        <w:t xml:space="preserve">Pieteikumā norāda: </w:t>
      </w:r>
    </w:p>
    <w:p w14:paraId="7B6B96E5"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1. Tiesas nosaukumu, kurai iesniedz pieteikumu. </w:t>
      </w:r>
    </w:p>
    <w:p w14:paraId="3ED71AE4"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2. Informāciju par pieteicēju. Ja pieteicējs ir fiziska persona, tad norāda vārdu, uzvārdu un dzīvesvietas, kā arī citu adresi (ja tāda ir), kurā pieteicējs ir sasniedzams. Ja pieteicējs ir juridiska persona, tad norāda nosaukumu, reģistrācijas numuru (ja tāds ir) un juridisko adresi. </w:t>
      </w:r>
    </w:p>
    <w:p w14:paraId="021BE1F6"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3. Informāciju par pārstāvi, ja tāds ir (tādu pašu kā par pieteicēju). </w:t>
      </w:r>
    </w:p>
    <w:p w14:paraId="70A6AAA3"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4. Informāciju par saziņas līdzekļiem un veidiem, ko piekrīt izmantot (telefona numuru, elektroniskā pasta adresi, oficiālo elektronisko adresi, piekrišanu saziņai e-lietas portālā). </w:t>
      </w:r>
    </w:p>
    <w:p w14:paraId="56DCA6AB"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5. Atbildētāja pusē pieaicināmās iestādes nosaukumu un adresi. </w:t>
      </w:r>
    </w:p>
    <w:p w14:paraId="2269947B"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6. Pieteikuma pamatu un pierādījumus, ja tādi ir pieteicēja rīcībā – iebildumus pret administratīvo aktu, faktisko rīcību vai publisko tiesību līgumu, kā arī šo iebildumu pamatā esošos faktiskos apstākļus un pieteicēja rīcībā esošos pierādījumus, kas iebildumus apliecina. Pamatojumā var norādīt arī pieteicēja ieskatā pārkāptās tiesību normas. </w:t>
      </w:r>
    </w:p>
    <w:p w14:paraId="79B6CC1F"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7. Prasījumu – to, par ko pieteicējs tiesu lūdz pieņemt spriedumu. </w:t>
      </w:r>
    </w:p>
    <w:p w14:paraId="6A4F12DF" w14:textId="74C1B566" w:rsidR="00765682"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8. Prasījuma summu, ja tajā ir ietverts prasījums atlīdzināt mantiskos zaudējumus vai nemantisko kaitējumu</w:t>
      </w:r>
      <w:r w:rsidRPr="00C64B60">
        <w:rPr>
          <w:rFonts w:ascii="Times New Roman" w:hAnsi="Times New Roman" w:cs="Times New Roman"/>
          <w:sz w:val="24"/>
          <w:szCs w:val="24"/>
        </w:rPr>
        <w:t>.</w:t>
      </w:r>
    </w:p>
    <w:p w14:paraId="5DB67FA6"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9. </w:t>
      </w:r>
      <w:r w:rsidRPr="00C64B60">
        <w:rPr>
          <w:rFonts w:ascii="Times New Roman" w:hAnsi="Times New Roman" w:cs="Times New Roman"/>
          <w:sz w:val="24"/>
          <w:szCs w:val="24"/>
        </w:rPr>
        <w:t xml:space="preserve">Lūgumu izskatīt lietu mutvārdu procesā, ja vēlas, lai lieta tiktu skatīta tiesas sēdē. </w:t>
      </w:r>
    </w:p>
    <w:p w14:paraId="25C27FD6" w14:textId="1CBB993C"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10. Lūgumu par valsts nodrošinātās juridiskās palīdzības piešķiršanu, ja personai uz to ir tiesības (informācija par valsts nodrošināto juridisko palīdzību ir pieejama </w:t>
      </w:r>
      <w:hyperlink r:id="rId4" w:history="1">
        <w:r w:rsidRPr="00C64B60">
          <w:rPr>
            <w:rStyle w:val="Hipersaite"/>
            <w:rFonts w:ascii="Times New Roman" w:hAnsi="Times New Roman" w:cs="Times New Roman"/>
            <w:sz w:val="24"/>
            <w:szCs w:val="24"/>
          </w:rPr>
          <w:t>Tiesu</w:t>
        </w:r>
        <w:r w:rsidRPr="00C64B60">
          <w:rPr>
            <w:rStyle w:val="Hipersaite"/>
            <w:rFonts w:ascii="Times New Roman" w:hAnsi="Times New Roman" w:cs="Times New Roman"/>
            <w:sz w:val="24"/>
            <w:szCs w:val="24"/>
          </w:rPr>
          <w:t xml:space="preserve"> administrācijas mājas lapā</w:t>
        </w:r>
      </w:hyperlink>
      <w:r w:rsidRPr="00C64B60">
        <w:rPr>
          <w:rFonts w:ascii="Times New Roman" w:hAnsi="Times New Roman" w:cs="Times New Roman"/>
          <w:sz w:val="24"/>
          <w:szCs w:val="24"/>
        </w:rPr>
        <w:t>)</w:t>
      </w:r>
      <w:r w:rsidRPr="00C64B60">
        <w:rPr>
          <w:rFonts w:ascii="Times New Roman" w:hAnsi="Times New Roman" w:cs="Times New Roman"/>
          <w:sz w:val="24"/>
          <w:szCs w:val="24"/>
        </w:rPr>
        <w:t xml:space="preserve">. </w:t>
      </w:r>
    </w:p>
    <w:p w14:paraId="65446623"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11. Citas ziņas, kas var būt svarīgas lietas izskatīšanai. </w:t>
      </w:r>
    </w:p>
    <w:p w14:paraId="3E327125"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12. Pieteikumam pievienoto dokumentu sarakstu. </w:t>
      </w:r>
    </w:p>
    <w:p w14:paraId="5E5075BA" w14:textId="0C0F335F"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13. Pieteikuma sastādīšanas vietu un laiku.</w:t>
      </w:r>
    </w:p>
    <w:p w14:paraId="2A16B734" w14:textId="77777777" w:rsidR="00D2619E" w:rsidRDefault="00D2619E" w:rsidP="00D2619E">
      <w:pPr>
        <w:spacing w:after="0"/>
        <w:jc w:val="both"/>
        <w:rPr>
          <w:rFonts w:ascii="Times New Roman" w:hAnsi="Times New Roman" w:cs="Times New Roman"/>
          <w:sz w:val="24"/>
          <w:szCs w:val="24"/>
        </w:rPr>
      </w:pPr>
    </w:p>
    <w:p w14:paraId="0B9B7F0D" w14:textId="18DB2492" w:rsidR="00C64B60" w:rsidRPr="00D2619E" w:rsidRDefault="00C64B60" w:rsidP="00D2619E">
      <w:pPr>
        <w:spacing w:after="0"/>
        <w:jc w:val="both"/>
        <w:rPr>
          <w:rFonts w:ascii="Times New Roman" w:hAnsi="Times New Roman" w:cs="Times New Roman"/>
          <w:sz w:val="24"/>
          <w:szCs w:val="24"/>
          <w:u w:val="single"/>
        </w:rPr>
      </w:pPr>
      <w:r w:rsidRPr="00D2619E">
        <w:rPr>
          <w:rFonts w:ascii="Times New Roman" w:hAnsi="Times New Roman" w:cs="Times New Roman"/>
          <w:sz w:val="24"/>
          <w:szCs w:val="24"/>
          <w:u w:val="single"/>
        </w:rPr>
        <w:t>Pieteikumu paraksta pieteicējs vai viņa pārstāvis.</w:t>
      </w:r>
    </w:p>
    <w:p w14:paraId="5D6222BA" w14:textId="77777777" w:rsidR="00D2619E" w:rsidRDefault="00D2619E" w:rsidP="00D2619E">
      <w:pPr>
        <w:spacing w:after="0"/>
        <w:ind w:firstLine="720"/>
        <w:jc w:val="both"/>
        <w:rPr>
          <w:rFonts w:ascii="Times New Roman" w:hAnsi="Times New Roman" w:cs="Times New Roman"/>
          <w:sz w:val="24"/>
          <w:szCs w:val="24"/>
        </w:rPr>
      </w:pPr>
    </w:p>
    <w:p w14:paraId="7F41DF6F" w14:textId="316DD3C6" w:rsidR="00C64B60" w:rsidRPr="00D2619E" w:rsidRDefault="00C64B60" w:rsidP="00D2619E">
      <w:pPr>
        <w:spacing w:after="0"/>
        <w:jc w:val="both"/>
        <w:rPr>
          <w:rFonts w:ascii="Times New Roman" w:hAnsi="Times New Roman" w:cs="Times New Roman"/>
          <w:sz w:val="24"/>
          <w:szCs w:val="24"/>
          <w:u w:val="single"/>
        </w:rPr>
      </w:pPr>
      <w:r w:rsidRPr="00D2619E">
        <w:rPr>
          <w:rFonts w:ascii="Times New Roman" w:hAnsi="Times New Roman" w:cs="Times New Roman"/>
          <w:sz w:val="24"/>
          <w:szCs w:val="24"/>
          <w:u w:val="single"/>
        </w:rPr>
        <w:t xml:space="preserve">Pieteikumam pievieno: </w:t>
      </w:r>
    </w:p>
    <w:p w14:paraId="4A7F6471"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1. Dokumentus, kas apstiprina lietas </w:t>
      </w:r>
      <w:proofErr w:type="spellStart"/>
      <w:r w:rsidRPr="00C64B60">
        <w:rPr>
          <w:rFonts w:ascii="Times New Roman" w:hAnsi="Times New Roman" w:cs="Times New Roman"/>
          <w:sz w:val="24"/>
          <w:szCs w:val="24"/>
        </w:rPr>
        <w:t>ārpustiesas</w:t>
      </w:r>
      <w:proofErr w:type="spellEnd"/>
      <w:r w:rsidRPr="00C64B60">
        <w:rPr>
          <w:rFonts w:ascii="Times New Roman" w:hAnsi="Times New Roman" w:cs="Times New Roman"/>
          <w:sz w:val="24"/>
          <w:szCs w:val="24"/>
        </w:rPr>
        <w:t xml:space="preserve"> izskatīšanas kārtības ievērošanu, ja tāda noteikta likumā. </w:t>
      </w:r>
    </w:p>
    <w:p w14:paraId="0833C0E0"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2. Dokumentus, kas apstiprina apstākļus, uz kuriem pamatots prasījums vai lūgums. </w:t>
      </w:r>
    </w:p>
    <w:p w14:paraId="2CB50EB5" w14:textId="143D2150"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3. Pilnvaru vai citu dokumentu, kas apliecina pārstāvja pilnvarojumu iesniegt pieteikumu (ja pieteikumu pieteicēja vārdā iesniedz pārstāvis). Pārstāvim izdotā pilnvarā jābūt īpaši norādītām tiesībām iesniegt pieteikumu.</w:t>
      </w:r>
    </w:p>
    <w:p w14:paraId="3C736804" w14:textId="585BE768"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Pieteikumā var lūgt pagaidu aizsardzību. Pagaidu aizsardzība ir instruments, kas ļauj nodrošināt, ka tajos gadījumos, kad persona ar pieteikumu tiesā vērsusies </w:t>
      </w:r>
      <w:proofErr w:type="spellStart"/>
      <w:r w:rsidRPr="00C64B60">
        <w:rPr>
          <w:rFonts w:ascii="Times New Roman" w:hAnsi="Times New Roman" w:cs="Times New Roman"/>
          <w:sz w:val="24"/>
          <w:szCs w:val="24"/>
        </w:rPr>
        <w:lastRenderedPageBreak/>
        <w:t>pirmšķietami</w:t>
      </w:r>
      <w:proofErr w:type="spellEnd"/>
      <w:r w:rsidRPr="00C64B60">
        <w:rPr>
          <w:rFonts w:ascii="Times New Roman" w:hAnsi="Times New Roman" w:cs="Times New Roman"/>
          <w:sz w:val="24"/>
          <w:szCs w:val="24"/>
        </w:rPr>
        <w:t xml:space="preserve"> pamatoti un lietas apstākļi prasa steidzamu risinājumu, lietas izskatīšanas ilgums nekavē taisnīguma atjaunošanu. Pagaidu aizsardzības lūgums ir iesniedzams tiesā tiesību normās paredzētajos gadījumos un kārtībā (Administratīvā procesa likuma 185. un 185.1 pants, kā arī 195.-202.pants).</w:t>
      </w:r>
    </w:p>
    <w:p w14:paraId="586D6315" w14:textId="77777777" w:rsidR="00D2619E" w:rsidRDefault="00D2619E" w:rsidP="00D2619E">
      <w:pPr>
        <w:spacing w:after="0"/>
        <w:ind w:firstLine="720"/>
        <w:jc w:val="both"/>
        <w:rPr>
          <w:rFonts w:ascii="Times New Roman" w:hAnsi="Times New Roman" w:cs="Times New Roman"/>
          <w:sz w:val="24"/>
          <w:szCs w:val="24"/>
        </w:rPr>
      </w:pPr>
    </w:p>
    <w:p w14:paraId="030811DF" w14:textId="447F0847" w:rsidR="00C64B60" w:rsidRPr="00D2619E" w:rsidRDefault="00C64B60" w:rsidP="00D2619E">
      <w:pPr>
        <w:spacing w:after="0"/>
        <w:jc w:val="both"/>
        <w:rPr>
          <w:rFonts w:ascii="Times New Roman" w:hAnsi="Times New Roman" w:cs="Times New Roman"/>
          <w:sz w:val="24"/>
          <w:szCs w:val="24"/>
          <w:u w:val="single"/>
        </w:rPr>
      </w:pPr>
      <w:r w:rsidRPr="00D2619E">
        <w:rPr>
          <w:rFonts w:ascii="Times New Roman" w:hAnsi="Times New Roman" w:cs="Times New Roman"/>
          <w:sz w:val="24"/>
          <w:szCs w:val="24"/>
          <w:u w:val="single"/>
        </w:rPr>
        <w:t xml:space="preserve">Valsts nodeva un drošības nauda: </w:t>
      </w:r>
    </w:p>
    <w:p w14:paraId="58EEC3CE"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1. Par pieteikumu par lietas ierosināšanu tiesā, kā arī par </w:t>
      </w:r>
      <w:proofErr w:type="spellStart"/>
      <w:r w:rsidRPr="00C64B60">
        <w:rPr>
          <w:rFonts w:ascii="Times New Roman" w:hAnsi="Times New Roman" w:cs="Times New Roman"/>
          <w:sz w:val="24"/>
          <w:szCs w:val="24"/>
        </w:rPr>
        <w:t>pretpieteikumu</w:t>
      </w:r>
      <w:proofErr w:type="spellEnd"/>
      <w:r w:rsidRPr="00C64B60">
        <w:rPr>
          <w:rFonts w:ascii="Times New Roman" w:hAnsi="Times New Roman" w:cs="Times New Roman"/>
          <w:sz w:val="24"/>
          <w:szCs w:val="24"/>
        </w:rPr>
        <w:t xml:space="preserve"> un trešās personas ar patstāvīgiem prasījumiem pieteikumu maksā valsts nodevu 30 </w:t>
      </w:r>
      <w:proofErr w:type="spellStart"/>
      <w:r w:rsidRPr="00C64B60">
        <w:rPr>
          <w:rFonts w:ascii="Times New Roman" w:hAnsi="Times New Roman" w:cs="Times New Roman"/>
          <w:sz w:val="24"/>
          <w:szCs w:val="24"/>
        </w:rPr>
        <w:t>euro</w:t>
      </w:r>
      <w:proofErr w:type="spellEnd"/>
      <w:r w:rsidRPr="00C64B60">
        <w:rPr>
          <w:rFonts w:ascii="Times New Roman" w:hAnsi="Times New Roman" w:cs="Times New Roman"/>
          <w:sz w:val="24"/>
          <w:szCs w:val="24"/>
        </w:rPr>
        <w:t xml:space="preserve">. </w:t>
      </w:r>
    </w:p>
    <w:p w14:paraId="11DFE252"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2. Par lūgumu par pagaidu aizsardzību maksā drošības naudu 15 </w:t>
      </w:r>
      <w:proofErr w:type="spellStart"/>
      <w:r w:rsidRPr="00C64B60">
        <w:rPr>
          <w:rFonts w:ascii="Times New Roman" w:hAnsi="Times New Roman" w:cs="Times New Roman"/>
          <w:sz w:val="24"/>
          <w:szCs w:val="24"/>
        </w:rPr>
        <w:t>euro</w:t>
      </w:r>
      <w:proofErr w:type="spellEnd"/>
      <w:r w:rsidRPr="00C64B60">
        <w:rPr>
          <w:rFonts w:ascii="Times New Roman" w:hAnsi="Times New Roman" w:cs="Times New Roman"/>
          <w:sz w:val="24"/>
          <w:szCs w:val="24"/>
        </w:rPr>
        <w:t xml:space="preserve">. </w:t>
      </w:r>
    </w:p>
    <w:p w14:paraId="18168BFE" w14:textId="777777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3. Par pieteikumu par lietas jaunu izskatīšanu sakarā ar jaunatklātiem apstākļiem maksā drošības naudu 15 </w:t>
      </w:r>
      <w:proofErr w:type="spellStart"/>
      <w:r w:rsidRPr="00C64B60">
        <w:rPr>
          <w:rFonts w:ascii="Times New Roman" w:hAnsi="Times New Roman" w:cs="Times New Roman"/>
          <w:sz w:val="24"/>
          <w:szCs w:val="24"/>
        </w:rPr>
        <w:t>euro</w:t>
      </w:r>
      <w:proofErr w:type="spellEnd"/>
      <w:r w:rsidRPr="00C64B60">
        <w:rPr>
          <w:rFonts w:ascii="Times New Roman" w:hAnsi="Times New Roman" w:cs="Times New Roman"/>
          <w:sz w:val="24"/>
          <w:szCs w:val="24"/>
        </w:rPr>
        <w:t xml:space="preserve">. </w:t>
      </w:r>
    </w:p>
    <w:p w14:paraId="40D01FC2" w14:textId="77777777" w:rsidR="00D2619E" w:rsidRDefault="00D2619E" w:rsidP="00D2619E">
      <w:pPr>
        <w:spacing w:after="0"/>
        <w:ind w:firstLine="720"/>
        <w:jc w:val="both"/>
        <w:rPr>
          <w:rFonts w:ascii="Times New Roman" w:hAnsi="Times New Roman" w:cs="Times New Roman"/>
          <w:sz w:val="24"/>
          <w:szCs w:val="24"/>
        </w:rPr>
      </w:pPr>
    </w:p>
    <w:p w14:paraId="6118D6A5" w14:textId="18138B35"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Valsts nodeva un drošības nauda nav jāmaksā, ja pastāv kāds no normatīvajos aktos paredzētajiem izņēmuma gadījumiem. Persona var iesniegt lūgumu pilnībā vai daļēji atbrīvot no valsts nodevas samaksas, pievienojot pierādījumus par mantisko stāvokli. Detalizētāk jautājumi, kas saistīti ar valsts nodevu un drošības naudu, ir reglamentēti Administratīvā procesa likuma 124.-129.3 pantā. Informācija par kontiem, kuros veicami maksājumi, ir pieejama</w:t>
      </w:r>
      <w:r w:rsidRPr="00C64B60">
        <w:rPr>
          <w:rFonts w:ascii="Times New Roman" w:hAnsi="Times New Roman" w:cs="Times New Roman"/>
          <w:sz w:val="24"/>
          <w:szCs w:val="24"/>
        </w:rPr>
        <w:t xml:space="preserve"> </w:t>
      </w:r>
      <w:hyperlink r:id="rId5" w:history="1">
        <w:r w:rsidRPr="00C64B60">
          <w:rPr>
            <w:rStyle w:val="Hipersaite"/>
            <w:rFonts w:ascii="Times New Roman" w:hAnsi="Times New Roman" w:cs="Times New Roman"/>
            <w:sz w:val="24"/>
            <w:szCs w:val="24"/>
          </w:rPr>
          <w:t>ŠEIT</w:t>
        </w:r>
      </w:hyperlink>
      <w:r w:rsidRPr="00C64B60">
        <w:rPr>
          <w:rFonts w:ascii="Times New Roman" w:hAnsi="Times New Roman" w:cs="Times New Roman"/>
          <w:sz w:val="24"/>
          <w:szCs w:val="24"/>
        </w:rPr>
        <w:t>.</w:t>
      </w:r>
    </w:p>
    <w:p w14:paraId="5E92BD7E" w14:textId="77777777" w:rsidR="00D2619E" w:rsidRDefault="00D2619E" w:rsidP="00D2619E">
      <w:pPr>
        <w:spacing w:after="0"/>
        <w:ind w:firstLine="720"/>
        <w:jc w:val="both"/>
        <w:rPr>
          <w:rFonts w:ascii="Times New Roman" w:hAnsi="Times New Roman" w:cs="Times New Roman"/>
          <w:sz w:val="24"/>
          <w:szCs w:val="24"/>
        </w:rPr>
      </w:pPr>
    </w:p>
    <w:p w14:paraId="17543119" w14:textId="0B5F3577"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 xml:space="preserve">Portālā </w:t>
      </w:r>
      <w:hyperlink r:id="rId6" w:anchor="/pakalpojumi/eveidlapas/tiesai" w:history="1">
        <w:r w:rsidRPr="00C64B60">
          <w:rPr>
            <w:rStyle w:val="Hipersaite"/>
            <w:rFonts w:ascii="Times New Roman" w:hAnsi="Times New Roman" w:cs="Times New Roman"/>
            <w:sz w:val="24"/>
            <w:szCs w:val="24"/>
          </w:rPr>
          <w:t>elieta.lv</w:t>
        </w:r>
      </w:hyperlink>
      <w:r w:rsidRPr="00C64B60">
        <w:rPr>
          <w:rFonts w:ascii="Times New Roman" w:hAnsi="Times New Roman" w:cs="Times New Roman"/>
          <w:sz w:val="24"/>
          <w:szCs w:val="24"/>
        </w:rPr>
        <w:t xml:space="preserve"> ir pieejama veidlapa “Pieteikums administratīvajā procesā”, kas ir aizpildāma tiešsaistē, nepieciešamo informāciju norādot soli pa solim.</w:t>
      </w:r>
    </w:p>
    <w:p w14:paraId="463520CF" w14:textId="77777777" w:rsidR="00D2619E" w:rsidRDefault="00D2619E" w:rsidP="00D2619E">
      <w:pPr>
        <w:spacing w:after="0"/>
        <w:ind w:firstLine="720"/>
        <w:jc w:val="both"/>
        <w:rPr>
          <w:rFonts w:ascii="Times New Roman" w:hAnsi="Times New Roman" w:cs="Times New Roman"/>
          <w:sz w:val="24"/>
          <w:szCs w:val="24"/>
        </w:rPr>
      </w:pPr>
    </w:p>
    <w:p w14:paraId="1B6C4284" w14:textId="3E7C6B82" w:rsidR="00C64B60" w:rsidRPr="00C64B60" w:rsidRDefault="00C64B60" w:rsidP="00D2619E">
      <w:pPr>
        <w:spacing w:after="0"/>
        <w:ind w:firstLine="720"/>
        <w:jc w:val="both"/>
        <w:rPr>
          <w:rFonts w:ascii="Times New Roman" w:hAnsi="Times New Roman" w:cs="Times New Roman"/>
          <w:sz w:val="24"/>
          <w:szCs w:val="24"/>
        </w:rPr>
      </w:pPr>
      <w:r w:rsidRPr="00C64B60">
        <w:rPr>
          <w:rFonts w:ascii="Times New Roman" w:hAnsi="Times New Roman" w:cs="Times New Roman"/>
          <w:sz w:val="24"/>
          <w:szCs w:val="24"/>
        </w:rPr>
        <w:t>Ja dokumenti tiesā tiek iesniegti elektroniski, lūdzam to parakstīšanai piemērot tos pašus principus, ko piemēro dokumentu parakstīšanai papīra formā. Proti, ja attiecīgos dokumentus papīra formā parakstītu katru atsevišķi, tad arī elektroniskā formā katru no šiem dokumentiem būtu ieteicams parakstīt katru atsevišķi. Tāpat aicinām pievērst uzmanību, lai iesniegto elektronisko dokumentu datņu nosaukumi būtu skaidri, saprotami un identificē iesniegto dokumentu.</w:t>
      </w:r>
      <w:r w:rsidRPr="00C64B60">
        <w:rPr>
          <w:rFonts w:ascii="Times New Roman" w:hAnsi="Times New Roman" w:cs="Times New Roman"/>
          <w:sz w:val="24"/>
          <w:szCs w:val="24"/>
        </w:rPr>
        <w:t xml:space="preserve"> </w:t>
      </w:r>
    </w:p>
    <w:p w14:paraId="54DE71BE" w14:textId="77777777" w:rsidR="00D2619E" w:rsidRDefault="00D2619E" w:rsidP="00D2619E">
      <w:pPr>
        <w:spacing w:after="0"/>
        <w:jc w:val="both"/>
        <w:rPr>
          <w:rFonts w:ascii="Times New Roman" w:hAnsi="Times New Roman" w:cs="Times New Roman"/>
          <w:sz w:val="24"/>
          <w:szCs w:val="24"/>
        </w:rPr>
      </w:pPr>
    </w:p>
    <w:p w14:paraId="4848C0F4" w14:textId="2C4B03D3" w:rsidR="00C64B60" w:rsidRPr="00C64B60" w:rsidRDefault="00C64B60" w:rsidP="00D2619E">
      <w:pPr>
        <w:spacing w:after="0"/>
        <w:jc w:val="both"/>
        <w:rPr>
          <w:rFonts w:ascii="Times New Roman" w:hAnsi="Times New Roman" w:cs="Times New Roman"/>
          <w:sz w:val="24"/>
          <w:szCs w:val="24"/>
        </w:rPr>
      </w:pPr>
      <w:r w:rsidRPr="00C64B60">
        <w:rPr>
          <w:rFonts w:ascii="Times New Roman" w:hAnsi="Times New Roman" w:cs="Times New Roman"/>
          <w:sz w:val="24"/>
          <w:szCs w:val="24"/>
        </w:rPr>
        <w:t xml:space="preserve">Ieteikumi tiesā iesniedzamo dokumentu datņu nosaukumu veidošanai pieejami </w:t>
      </w:r>
      <w:hyperlink r:id="rId7" w:history="1">
        <w:r w:rsidRPr="00C64B60">
          <w:rPr>
            <w:rStyle w:val="Hipersaite"/>
            <w:rFonts w:ascii="Times New Roman" w:hAnsi="Times New Roman" w:cs="Times New Roman"/>
            <w:sz w:val="24"/>
            <w:szCs w:val="24"/>
          </w:rPr>
          <w:t>ŠEIT</w:t>
        </w:r>
      </w:hyperlink>
    </w:p>
    <w:sectPr w:rsidR="00C64B60" w:rsidRPr="00C64B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60"/>
    <w:rsid w:val="00240DBF"/>
    <w:rsid w:val="00765682"/>
    <w:rsid w:val="00C64B60"/>
    <w:rsid w:val="00D261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7E2A"/>
  <w15:chartTrackingRefBased/>
  <w15:docId w15:val="{0082B69F-21BD-4D93-894B-16CB25FD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64B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64B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64B6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64B6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64B6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64B6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64B6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64B6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64B6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64B6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64B6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64B6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64B6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64B6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64B6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64B6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64B6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64B6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64B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64B6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64B6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64B6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64B6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64B60"/>
    <w:rPr>
      <w:i/>
      <w:iCs/>
      <w:color w:val="404040" w:themeColor="text1" w:themeTint="BF"/>
    </w:rPr>
  </w:style>
  <w:style w:type="paragraph" w:styleId="Sarakstarindkopa">
    <w:name w:val="List Paragraph"/>
    <w:basedOn w:val="Parasts"/>
    <w:uiPriority w:val="34"/>
    <w:qFormat/>
    <w:rsid w:val="00C64B60"/>
    <w:pPr>
      <w:ind w:left="720"/>
      <w:contextualSpacing/>
    </w:pPr>
  </w:style>
  <w:style w:type="character" w:styleId="Intensvsizclums">
    <w:name w:val="Intense Emphasis"/>
    <w:basedOn w:val="Noklusjumarindkopasfonts"/>
    <w:uiPriority w:val="21"/>
    <w:qFormat/>
    <w:rsid w:val="00C64B60"/>
    <w:rPr>
      <w:i/>
      <w:iCs/>
      <w:color w:val="0F4761" w:themeColor="accent1" w:themeShade="BF"/>
    </w:rPr>
  </w:style>
  <w:style w:type="paragraph" w:styleId="Intensvscitts">
    <w:name w:val="Intense Quote"/>
    <w:basedOn w:val="Parasts"/>
    <w:next w:val="Parasts"/>
    <w:link w:val="IntensvscittsRakstz"/>
    <w:uiPriority w:val="30"/>
    <w:qFormat/>
    <w:rsid w:val="00C64B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64B60"/>
    <w:rPr>
      <w:i/>
      <w:iCs/>
      <w:color w:val="0F4761" w:themeColor="accent1" w:themeShade="BF"/>
    </w:rPr>
  </w:style>
  <w:style w:type="character" w:styleId="Intensvaatsauce">
    <w:name w:val="Intense Reference"/>
    <w:basedOn w:val="Noklusjumarindkopasfonts"/>
    <w:uiPriority w:val="32"/>
    <w:qFormat/>
    <w:rsid w:val="00C64B60"/>
    <w:rPr>
      <w:b/>
      <w:bCs/>
      <w:smallCaps/>
      <w:color w:val="0F4761" w:themeColor="accent1" w:themeShade="BF"/>
      <w:spacing w:val="5"/>
    </w:rPr>
  </w:style>
  <w:style w:type="character" w:styleId="Hipersaite">
    <w:name w:val="Hyperlink"/>
    <w:basedOn w:val="Noklusjumarindkopasfonts"/>
    <w:uiPriority w:val="99"/>
    <w:unhideWhenUsed/>
    <w:rsid w:val="00C64B60"/>
    <w:rPr>
      <w:color w:val="467886" w:themeColor="hyperlink"/>
      <w:u w:val="single"/>
    </w:rPr>
  </w:style>
  <w:style w:type="character" w:styleId="Neatrisintapieminana">
    <w:name w:val="Unresolved Mention"/>
    <w:basedOn w:val="Noklusjumarindkopasfonts"/>
    <w:uiPriority w:val="99"/>
    <w:semiHidden/>
    <w:unhideWhenUsed/>
    <w:rsid w:val="00C64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iesas.tvp.gov.lv/lv/jaunums/izstradati-ieteikumi-tiesa-iesniedzamo-dokumentu-datnu-nosaukumu-veidosan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lieta.lv/web/" TargetMode="External"/><Relationship Id="rId5" Type="http://schemas.openxmlformats.org/officeDocument/2006/relationships/hyperlink" Target="https://tiesas.tvp.gov.lv/lv/valsts-nodevas-un-tiesu-konti" TargetMode="External"/><Relationship Id="rId4" Type="http://schemas.openxmlformats.org/officeDocument/2006/relationships/hyperlink" Target="https://www.ta.gov.lv/lv/valsts-nodrosinata-juridiska-palidziba"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3082</Words>
  <Characters>1757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Valančūna-Mikiševa</dc:creator>
  <cp:keywords/>
  <dc:description/>
  <cp:lastModifiedBy>Rasa Valančūna-Mikiševa</cp:lastModifiedBy>
  <cp:revision>1</cp:revision>
  <dcterms:created xsi:type="dcterms:W3CDTF">2025-04-29T19:17:00Z</dcterms:created>
  <dcterms:modified xsi:type="dcterms:W3CDTF">2025-04-29T19:29:00Z</dcterms:modified>
</cp:coreProperties>
</file>