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4D89" w14:textId="77777777" w:rsidR="003556A9" w:rsidRPr="00560202" w:rsidRDefault="003556A9" w:rsidP="003556A9">
      <w:pPr>
        <w:jc w:val="right"/>
        <w:rPr>
          <w:rFonts w:eastAsia="Calibri" w:cs="Times New Roman"/>
          <w:szCs w:val="24"/>
        </w:rPr>
      </w:pPr>
      <w:r w:rsidRPr="00560202">
        <w:rPr>
          <w:rFonts w:eastAsia="Calibri" w:cs="Times New Roman"/>
          <w:szCs w:val="24"/>
        </w:rPr>
        <w:t>Lieta Nr.</w:t>
      </w:r>
      <w:r>
        <w:rPr>
          <w:rFonts w:eastAsia="Calibri" w:cs="Times New Roman"/>
          <w:szCs w:val="24"/>
        </w:rPr>
        <w:t> </w:t>
      </w:r>
      <w:r w:rsidRPr="00560202">
        <w:rPr>
          <w:rFonts w:eastAsia="Calibri" w:cs="Times New Roman"/>
          <w:szCs w:val="24"/>
        </w:rPr>
        <w:t>D-</w:t>
      </w:r>
      <w:r>
        <w:rPr>
          <w:rFonts w:eastAsia="Calibri" w:cs="Times New Roman"/>
          <w:szCs w:val="24"/>
        </w:rPr>
        <w:t>5</w:t>
      </w:r>
      <w:r w:rsidRPr="00560202">
        <w:rPr>
          <w:rFonts w:eastAsia="Calibri" w:cs="Times New Roman"/>
          <w:szCs w:val="24"/>
        </w:rPr>
        <w:t>/2025</w:t>
      </w:r>
    </w:p>
    <w:p w14:paraId="32745178" w14:textId="77777777" w:rsidR="003556A9" w:rsidRPr="00560202" w:rsidRDefault="003556A9" w:rsidP="003556A9">
      <w:pPr>
        <w:rPr>
          <w:rFonts w:eastAsia="Calibri" w:cs="Times New Roman"/>
          <w:szCs w:val="24"/>
        </w:rPr>
      </w:pPr>
    </w:p>
    <w:p w14:paraId="3366341F" w14:textId="77777777" w:rsidR="003556A9" w:rsidRPr="00560202" w:rsidRDefault="003556A9" w:rsidP="003556A9">
      <w:pPr>
        <w:jc w:val="center"/>
        <w:rPr>
          <w:rFonts w:eastAsia="Calibri" w:cs="Times New Roman"/>
          <w:b/>
          <w:szCs w:val="24"/>
        </w:rPr>
      </w:pPr>
      <w:r w:rsidRPr="00560202">
        <w:rPr>
          <w:rFonts w:eastAsia="Calibri" w:cs="Times New Roman"/>
          <w:b/>
          <w:szCs w:val="24"/>
        </w:rPr>
        <w:t>TIESNEŠU DISCIPLINĀRKOLĒĢIJAS</w:t>
      </w:r>
    </w:p>
    <w:p w14:paraId="72EA66B2" w14:textId="77777777" w:rsidR="003556A9" w:rsidRPr="00560202" w:rsidRDefault="003556A9" w:rsidP="003556A9">
      <w:pPr>
        <w:jc w:val="center"/>
        <w:rPr>
          <w:rFonts w:eastAsia="Calibri" w:cs="Times New Roman"/>
          <w:b/>
          <w:szCs w:val="24"/>
        </w:rPr>
      </w:pPr>
      <w:r w:rsidRPr="00560202">
        <w:rPr>
          <w:rFonts w:eastAsia="Calibri" w:cs="Times New Roman"/>
          <w:b/>
          <w:szCs w:val="24"/>
        </w:rPr>
        <w:t>LĒMUMS</w:t>
      </w:r>
    </w:p>
    <w:p w14:paraId="2572A7E9" w14:textId="77777777" w:rsidR="003556A9" w:rsidRPr="00560202" w:rsidRDefault="003556A9" w:rsidP="003556A9">
      <w:pPr>
        <w:jc w:val="center"/>
        <w:rPr>
          <w:rFonts w:eastAsia="Calibri" w:cs="Times New Roman"/>
          <w:b/>
          <w:szCs w:val="24"/>
        </w:rPr>
      </w:pPr>
    </w:p>
    <w:p w14:paraId="3AA06931" w14:textId="77777777" w:rsidR="003556A9" w:rsidRDefault="003556A9" w:rsidP="003556A9">
      <w:pPr>
        <w:jc w:val="center"/>
        <w:rPr>
          <w:rFonts w:eastAsia="Calibri" w:cs="Times New Roman"/>
          <w:szCs w:val="24"/>
        </w:rPr>
      </w:pPr>
      <w:r w:rsidRPr="00560202">
        <w:rPr>
          <w:rFonts w:eastAsia="Calibri" w:cs="Times New Roman"/>
          <w:szCs w:val="24"/>
        </w:rPr>
        <w:t>Rīgā 2025.</w:t>
      </w:r>
      <w:r>
        <w:rPr>
          <w:rFonts w:eastAsia="Calibri" w:cs="Times New Roman"/>
          <w:szCs w:val="24"/>
        </w:rPr>
        <w:t> </w:t>
      </w:r>
      <w:r w:rsidRPr="00560202">
        <w:rPr>
          <w:rFonts w:eastAsia="Calibri" w:cs="Times New Roman"/>
          <w:szCs w:val="24"/>
        </w:rPr>
        <w:t>gada 1</w:t>
      </w:r>
      <w:r>
        <w:rPr>
          <w:rFonts w:eastAsia="Calibri" w:cs="Times New Roman"/>
          <w:szCs w:val="24"/>
        </w:rPr>
        <w:t>9</w:t>
      </w:r>
      <w:r w:rsidRPr="00560202">
        <w:rPr>
          <w:rFonts w:eastAsia="Calibri" w:cs="Times New Roman"/>
          <w:szCs w:val="24"/>
        </w:rPr>
        <w:t>.</w:t>
      </w:r>
      <w:r>
        <w:rPr>
          <w:rFonts w:eastAsia="Calibri" w:cs="Times New Roman"/>
          <w:szCs w:val="24"/>
        </w:rPr>
        <w:t> septembrī</w:t>
      </w:r>
    </w:p>
    <w:p w14:paraId="36F04495" w14:textId="77777777" w:rsidR="003556A9" w:rsidRPr="00560202" w:rsidRDefault="003556A9" w:rsidP="003556A9">
      <w:pPr>
        <w:jc w:val="center"/>
        <w:rPr>
          <w:rFonts w:eastAsia="Calibri" w:cs="Times New Roman"/>
          <w:szCs w:val="24"/>
        </w:rPr>
      </w:pPr>
    </w:p>
    <w:p w14:paraId="3A83E26B" w14:textId="77777777" w:rsidR="003556A9" w:rsidRPr="00C8314D" w:rsidRDefault="003556A9" w:rsidP="003556A9">
      <w:pPr>
        <w:rPr>
          <w:rFonts w:eastAsia="Calibri" w:cs="Times New Roman"/>
          <w:color w:val="000000" w:themeColor="text1"/>
          <w:szCs w:val="24"/>
        </w:rPr>
      </w:pPr>
    </w:p>
    <w:p w14:paraId="7091F7FD" w14:textId="77777777" w:rsidR="003556A9" w:rsidRPr="00407DE6" w:rsidRDefault="003556A9" w:rsidP="003556A9">
      <w:pPr>
        <w:rPr>
          <w:rFonts w:eastAsia="Calibri" w:cs="Times New Roman"/>
          <w:szCs w:val="24"/>
        </w:rPr>
      </w:pPr>
      <w:r w:rsidRPr="00407DE6">
        <w:rPr>
          <w:rFonts w:eastAsia="Calibri" w:cs="Times New Roman"/>
          <w:szCs w:val="24"/>
        </w:rPr>
        <w:t>Tiesnešu disciplinārkolēģija šādā sastāvā:</w:t>
      </w:r>
    </w:p>
    <w:p w14:paraId="2AE38BF0" w14:textId="77777777" w:rsidR="003556A9" w:rsidRPr="00407DE6" w:rsidRDefault="003556A9" w:rsidP="003556A9">
      <w:pPr>
        <w:rPr>
          <w:rFonts w:cs="Times New Roman"/>
          <w:szCs w:val="24"/>
        </w:rPr>
      </w:pPr>
      <w:r w:rsidRPr="00407DE6">
        <w:rPr>
          <w:rFonts w:eastAsia="Calibri" w:cs="Times New Roman"/>
          <w:szCs w:val="24"/>
        </w:rPr>
        <w:t xml:space="preserve">sēdes priekšsēdētājs </w:t>
      </w:r>
      <w:r w:rsidRPr="00407DE6">
        <w:rPr>
          <w:rFonts w:cs="Times New Roman"/>
          <w:szCs w:val="24"/>
        </w:rPr>
        <w:t>Valerijs Maksimovs,</w:t>
      </w:r>
    </w:p>
    <w:p w14:paraId="767C46BB" w14:textId="77777777" w:rsidR="003556A9" w:rsidRDefault="003556A9" w:rsidP="003556A9">
      <w:pPr>
        <w:rPr>
          <w:rFonts w:cs="Times New Roman"/>
          <w:szCs w:val="24"/>
        </w:rPr>
      </w:pPr>
      <w:r w:rsidRPr="00407DE6">
        <w:rPr>
          <w:rFonts w:cs="Times New Roman"/>
          <w:szCs w:val="24"/>
        </w:rPr>
        <w:t xml:space="preserve">kolēģijas locekļi </w:t>
      </w:r>
      <w:r>
        <w:rPr>
          <w:rFonts w:cs="Times New Roman"/>
          <w:szCs w:val="24"/>
        </w:rPr>
        <w:t>Līvija Slica,</w:t>
      </w:r>
      <w:r w:rsidRPr="00407DE6">
        <w:rPr>
          <w:rFonts w:cs="Times New Roman"/>
          <w:szCs w:val="24"/>
        </w:rPr>
        <w:t xml:space="preserve"> Kaspars Berķis, Lelde Grauda, Līga Baltmane-Zepa</w:t>
      </w:r>
      <w:r>
        <w:rPr>
          <w:rFonts w:cs="Times New Roman"/>
          <w:szCs w:val="24"/>
        </w:rPr>
        <w:t>,</w:t>
      </w:r>
      <w:r w:rsidRPr="00407DE6">
        <w:rPr>
          <w:rFonts w:cs="Times New Roman"/>
          <w:szCs w:val="24"/>
        </w:rPr>
        <w:t xml:space="preserve"> Ilze Andruškina, Kristīne Vanaga</w:t>
      </w:r>
      <w:r>
        <w:rPr>
          <w:rFonts w:cs="Times New Roman"/>
          <w:szCs w:val="24"/>
        </w:rPr>
        <w:t>,</w:t>
      </w:r>
    </w:p>
    <w:p w14:paraId="18B27E41" w14:textId="77777777" w:rsidR="003556A9" w:rsidRPr="00407DE6" w:rsidRDefault="003556A9" w:rsidP="003556A9">
      <w:pPr>
        <w:rPr>
          <w:rFonts w:cs="Times New Roman"/>
          <w:szCs w:val="24"/>
        </w:rPr>
      </w:pPr>
      <w:r>
        <w:rPr>
          <w:rFonts w:cs="Times New Roman"/>
          <w:szCs w:val="24"/>
        </w:rPr>
        <w:t xml:space="preserve">ar sekretāri Sanitu </w:t>
      </w:r>
      <w:proofErr w:type="spellStart"/>
      <w:r>
        <w:rPr>
          <w:rFonts w:cs="Times New Roman"/>
          <w:szCs w:val="24"/>
        </w:rPr>
        <w:t>Jefimovu</w:t>
      </w:r>
      <w:proofErr w:type="spellEnd"/>
      <w:r>
        <w:rPr>
          <w:rFonts w:cs="Times New Roman"/>
          <w:szCs w:val="24"/>
        </w:rPr>
        <w:t>,</w:t>
      </w:r>
    </w:p>
    <w:p w14:paraId="12A24315" w14:textId="77777777" w:rsidR="003556A9" w:rsidRDefault="003556A9" w:rsidP="003556A9">
      <w:pPr>
        <w:rPr>
          <w:rFonts w:cs="Times New Roman"/>
          <w:szCs w:val="24"/>
        </w:rPr>
      </w:pPr>
      <w:r w:rsidRPr="00407DE6">
        <w:rPr>
          <w:rFonts w:cs="Times New Roman"/>
          <w:szCs w:val="24"/>
        </w:rPr>
        <w:t>piedaloties</w:t>
      </w:r>
      <w:r>
        <w:rPr>
          <w:rFonts w:cs="Times New Roman"/>
          <w:szCs w:val="24"/>
        </w:rPr>
        <w:t xml:space="preserve"> Vidzemes apgabaltiesas</w:t>
      </w:r>
      <w:r w:rsidRPr="00407DE6">
        <w:rPr>
          <w:rFonts w:cs="Times New Roman"/>
          <w:szCs w:val="24"/>
        </w:rPr>
        <w:t xml:space="preserve"> tiesnesei </w:t>
      </w:r>
      <w:r>
        <w:rPr>
          <w:rFonts w:cs="Times New Roman"/>
          <w:szCs w:val="24"/>
        </w:rPr>
        <w:t xml:space="preserve">Santai </w:t>
      </w:r>
      <w:proofErr w:type="spellStart"/>
      <w:r>
        <w:rPr>
          <w:rFonts w:cs="Times New Roman"/>
          <w:szCs w:val="24"/>
        </w:rPr>
        <w:t>Bernhardei</w:t>
      </w:r>
      <w:proofErr w:type="spellEnd"/>
      <w:r w:rsidRPr="00407DE6">
        <w:rPr>
          <w:rFonts w:cs="Times New Roman"/>
          <w:szCs w:val="24"/>
        </w:rPr>
        <w:t>,</w:t>
      </w:r>
    </w:p>
    <w:p w14:paraId="75F42A55" w14:textId="77777777" w:rsidR="003556A9" w:rsidRDefault="003556A9" w:rsidP="003556A9">
      <w:pPr>
        <w:rPr>
          <w:rFonts w:cs="Times New Roman"/>
          <w:szCs w:val="24"/>
        </w:rPr>
      </w:pPr>
      <w:r>
        <w:rPr>
          <w:rFonts w:eastAsia="Calibri" w:cs="Times New Roman"/>
          <w:szCs w:val="24"/>
        </w:rPr>
        <w:t>t</w:t>
      </w:r>
      <w:r w:rsidRPr="00407DE6">
        <w:rPr>
          <w:rFonts w:eastAsia="Calibri" w:cs="Times New Roman"/>
          <w:szCs w:val="24"/>
        </w:rPr>
        <w:t>ieslietu ministra pilnvarotajai pārstāv</w:t>
      </w:r>
      <w:r>
        <w:rPr>
          <w:rFonts w:eastAsia="Calibri" w:cs="Times New Roman"/>
          <w:szCs w:val="24"/>
        </w:rPr>
        <w:t>ei Aigai Kalniņai,</w:t>
      </w:r>
    </w:p>
    <w:p w14:paraId="3308F771" w14:textId="77777777" w:rsidR="003556A9" w:rsidRPr="00A504A4" w:rsidRDefault="003556A9" w:rsidP="003556A9">
      <w:pPr>
        <w:rPr>
          <w:rFonts w:cs="Times New Roman"/>
          <w:szCs w:val="24"/>
        </w:rPr>
      </w:pPr>
      <w:bookmarkStart w:id="0" w:name="_Hlk209733901"/>
      <w:r>
        <w:rPr>
          <w:rFonts w:cs="Times New Roman"/>
          <w:szCs w:val="24"/>
        </w:rPr>
        <w:t xml:space="preserve">Latvijas </w:t>
      </w:r>
      <w:r w:rsidRPr="00407DE6">
        <w:rPr>
          <w:rFonts w:cs="Times New Roman"/>
          <w:szCs w:val="24"/>
        </w:rPr>
        <w:t>Tiesnešu biedrības pārstāv</w:t>
      </w:r>
      <w:r>
        <w:rPr>
          <w:rFonts w:cs="Times New Roman"/>
          <w:szCs w:val="24"/>
        </w:rPr>
        <w:t xml:space="preserve">ei Līgai </w:t>
      </w:r>
      <w:proofErr w:type="spellStart"/>
      <w:r>
        <w:rPr>
          <w:rFonts w:cs="Times New Roman"/>
          <w:szCs w:val="24"/>
        </w:rPr>
        <w:t>Blūmiņai</w:t>
      </w:r>
      <w:bookmarkEnd w:id="0"/>
      <w:proofErr w:type="spellEnd"/>
      <w:r>
        <w:rPr>
          <w:rFonts w:cs="Times New Roman"/>
          <w:szCs w:val="24"/>
        </w:rPr>
        <w:t>,</w:t>
      </w:r>
    </w:p>
    <w:p w14:paraId="7A096790" w14:textId="77777777" w:rsidR="003556A9" w:rsidRDefault="003556A9" w:rsidP="003556A9">
      <w:pPr>
        <w:rPr>
          <w:rStyle w:val="CharStyle11"/>
          <w:rFonts w:cs="Times New Roman"/>
          <w:szCs w:val="24"/>
        </w:rPr>
      </w:pPr>
      <w:bookmarkStart w:id="1" w:name="_Hlk210029566"/>
      <w:r w:rsidRPr="00A504A4">
        <w:rPr>
          <w:rFonts w:cs="Times New Roman"/>
          <w:szCs w:val="24"/>
        </w:rPr>
        <w:t xml:space="preserve">izskatīja disciplinārlietu, kas </w:t>
      </w:r>
      <w:proofErr w:type="gramStart"/>
      <w:r w:rsidRPr="00A504A4">
        <w:rPr>
          <w:rFonts w:cs="Times New Roman"/>
          <w:szCs w:val="24"/>
        </w:rPr>
        <w:t xml:space="preserve">ar </w:t>
      </w:r>
      <w:r w:rsidRPr="00A504A4">
        <w:rPr>
          <w:rStyle w:val="CharStyle11"/>
          <w:rFonts w:cs="Times New Roman"/>
          <w:szCs w:val="24"/>
        </w:rPr>
        <w:t>Augstākās tiesas priekšsēdētāja Aigara Strupiša 2025.</w:t>
      </w:r>
      <w:r>
        <w:rPr>
          <w:rStyle w:val="CharStyle11"/>
          <w:rFonts w:cs="Times New Roman"/>
          <w:szCs w:val="24"/>
        </w:rPr>
        <w:t> </w:t>
      </w:r>
      <w:r w:rsidRPr="00A504A4">
        <w:rPr>
          <w:rStyle w:val="CharStyle11"/>
          <w:rFonts w:cs="Times New Roman"/>
          <w:szCs w:val="24"/>
        </w:rPr>
        <w:t xml:space="preserve">gada </w:t>
      </w:r>
      <w:r>
        <w:rPr>
          <w:rStyle w:val="CharStyle11"/>
          <w:rFonts w:cs="Times New Roman"/>
          <w:szCs w:val="24"/>
        </w:rPr>
        <w:t>9</w:t>
      </w:r>
      <w:r w:rsidRPr="00A504A4">
        <w:rPr>
          <w:rStyle w:val="CharStyle11"/>
          <w:rFonts w:cs="Times New Roman"/>
          <w:szCs w:val="24"/>
        </w:rPr>
        <w:t>.</w:t>
      </w:r>
      <w:r>
        <w:rPr>
          <w:rStyle w:val="CharStyle11"/>
          <w:rFonts w:cs="Times New Roman"/>
          <w:szCs w:val="24"/>
        </w:rPr>
        <w:t> septembra</w:t>
      </w:r>
      <w:r w:rsidRPr="00A504A4">
        <w:rPr>
          <w:rStyle w:val="CharStyle11"/>
          <w:rFonts w:cs="Times New Roman"/>
          <w:szCs w:val="24"/>
        </w:rPr>
        <w:t xml:space="preserve"> lēmumu ierosināta pret </w:t>
      </w:r>
      <w:bookmarkStart w:id="2" w:name="_Hlk209123065"/>
      <w:r>
        <w:rPr>
          <w:rStyle w:val="CharStyle11"/>
          <w:rFonts w:cs="Times New Roman"/>
          <w:szCs w:val="24"/>
        </w:rPr>
        <w:t>Vidzemes apgabaltiesas</w:t>
      </w:r>
      <w:r w:rsidRPr="00A504A4">
        <w:rPr>
          <w:rStyle w:val="CharStyle11"/>
          <w:rFonts w:cs="Times New Roman"/>
          <w:szCs w:val="24"/>
        </w:rPr>
        <w:t xml:space="preserve"> tiesnesi </w:t>
      </w:r>
      <w:r>
        <w:rPr>
          <w:rStyle w:val="CharStyle11"/>
          <w:rFonts w:cs="Times New Roman"/>
          <w:szCs w:val="24"/>
        </w:rPr>
        <w:t>Santu</w:t>
      </w:r>
      <w:proofErr w:type="gramEnd"/>
      <w:r>
        <w:rPr>
          <w:rStyle w:val="CharStyle11"/>
          <w:rFonts w:cs="Times New Roman"/>
          <w:szCs w:val="24"/>
        </w:rPr>
        <w:t xml:space="preserve"> Bernhardi</w:t>
      </w:r>
      <w:bookmarkEnd w:id="2"/>
      <w:r w:rsidRPr="00A504A4">
        <w:rPr>
          <w:rStyle w:val="CharStyle11"/>
          <w:rFonts w:cs="Times New Roman"/>
          <w:szCs w:val="24"/>
        </w:rPr>
        <w:t xml:space="preserve"> </w:t>
      </w:r>
      <w:r w:rsidRPr="00407DE6">
        <w:rPr>
          <w:rStyle w:val="CharStyle11"/>
          <w:rFonts w:cs="Times New Roman"/>
          <w:szCs w:val="24"/>
        </w:rPr>
        <w:t>par tīšiem likuma pārkāpumiem tiesas lietas izskatīšanā un/vai rupju nolaidīb</w:t>
      </w:r>
      <w:r>
        <w:rPr>
          <w:rStyle w:val="CharStyle11"/>
          <w:rFonts w:cs="Times New Roman"/>
          <w:szCs w:val="24"/>
        </w:rPr>
        <w:t>u.</w:t>
      </w:r>
    </w:p>
    <w:bookmarkEnd w:id="1"/>
    <w:p w14:paraId="55D70462" w14:textId="77777777" w:rsidR="003556A9" w:rsidRDefault="003556A9" w:rsidP="003556A9">
      <w:pPr>
        <w:jc w:val="center"/>
        <w:rPr>
          <w:rStyle w:val="CharStyle11"/>
          <w:rFonts w:cs="Times New Roman"/>
          <w:b/>
          <w:bCs/>
          <w:szCs w:val="24"/>
        </w:rPr>
      </w:pPr>
      <w:r w:rsidRPr="00FA6480">
        <w:rPr>
          <w:rStyle w:val="CharStyle11"/>
          <w:rFonts w:cs="Times New Roman"/>
          <w:b/>
          <w:bCs/>
          <w:szCs w:val="24"/>
        </w:rPr>
        <w:t>Aprakstošā daļa</w:t>
      </w:r>
    </w:p>
    <w:p w14:paraId="34D01438" w14:textId="77777777" w:rsidR="003556A9" w:rsidRPr="00FA6480" w:rsidRDefault="003556A9" w:rsidP="003556A9">
      <w:pPr>
        <w:jc w:val="center"/>
        <w:rPr>
          <w:rStyle w:val="CharStyle11"/>
          <w:rFonts w:cs="Times New Roman"/>
          <w:b/>
          <w:bCs/>
          <w:szCs w:val="24"/>
        </w:rPr>
      </w:pPr>
    </w:p>
    <w:p w14:paraId="2DA48269" w14:textId="77777777" w:rsidR="003556A9" w:rsidRPr="00C92EBF" w:rsidRDefault="003556A9" w:rsidP="003556A9">
      <w:pPr>
        <w:ind w:firstLine="709"/>
        <w:rPr>
          <w:rFonts w:eastAsia="Calibri" w:cs="Times New Roman"/>
          <w:szCs w:val="24"/>
        </w:rPr>
      </w:pPr>
      <w:r w:rsidRPr="00C92EBF">
        <w:rPr>
          <w:rFonts w:eastAsia="Calibri" w:cs="Times New Roman"/>
          <w:szCs w:val="24"/>
        </w:rPr>
        <w:t xml:space="preserve">[1] </w:t>
      </w:r>
      <w:r w:rsidRPr="00C92EBF">
        <w:rPr>
          <w:rStyle w:val="CharStyle11"/>
        </w:rPr>
        <w:t>Augstākās tiesas priekšsēdētājs 2025.</w:t>
      </w:r>
      <w:r>
        <w:rPr>
          <w:rStyle w:val="CharStyle11"/>
        </w:rPr>
        <w:t> </w:t>
      </w:r>
      <w:r w:rsidRPr="00C92EBF">
        <w:rPr>
          <w:rStyle w:val="CharStyle11"/>
        </w:rPr>
        <w:t>gada</w:t>
      </w:r>
      <w:r>
        <w:rPr>
          <w:rStyle w:val="CharStyle11"/>
        </w:rPr>
        <w:t xml:space="preserve"> 9. septembrī</w:t>
      </w:r>
      <w:r w:rsidRPr="00C92EBF">
        <w:rPr>
          <w:rFonts w:eastAsia="Calibri" w:cs="Times New Roman"/>
          <w:szCs w:val="24"/>
        </w:rPr>
        <w:t xml:space="preserve">, pamatojoties uz </w:t>
      </w:r>
      <w:r w:rsidRPr="00C92EBF">
        <w:rPr>
          <w:rStyle w:val="CharStyle11"/>
        </w:rPr>
        <w:t>Tiesnešu disciplinārās atbildības likuma 1.</w:t>
      </w:r>
      <w:r>
        <w:rPr>
          <w:rStyle w:val="CharStyle11"/>
        </w:rPr>
        <w:t> </w:t>
      </w:r>
      <w:r w:rsidRPr="00C92EBF">
        <w:rPr>
          <w:rStyle w:val="CharStyle11"/>
        </w:rPr>
        <w:t>panta pirmās daļas 1. un 2.</w:t>
      </w:r>
      <w:r>
        <w:rPr>
          <w:rStyle w:val="CharStyle11"/>
        </w:rPr>
        <w:t> </w:t>
      </w:r>
      <w:r w:rsidRPr="00C92EBF">
        <w:rPr>
          <w:rStyle w:val="CharStyle11"/>
        </w:rPr>
        <w:t>punktu, 3.</w:t>
      </w:r>
      <w:r>
        <w:rPr>
          <w:rStyle w:val="CharStyle11"/>
        </w:rPr>
        <w:t> </w:t>
      </w:r>
      <w:r w:rsidRPr="00C92EBF">
        <w:rPr>
          <w:rStyle w:val="CharStyle11"/>
        </w:rPr>
        <w:t>panta pirmās daļas 1.</w:t>
      </w:r>
      <w:r>
        <w:rPr>
          <w:rStyle w:val="CharStyle11"/>
        </w:rPr>
        <w:t> </w:t>
      </w:r>
      <w:r w:rsidRPr="00C92EBF">
        <w:rPr>
          <w:rStyle w:val="CharStyle11"/>
        </w:rPr>
        <w:t>punktu</w:t>
      </w:r>
      <w:r w:rsidRPr="00C92EBF">
        <w:rPr>
          <w:rFonts w:eastAsia="Calibri" w:cs="Times New Roman"/>
          <w:szCs w:val="24"/>
        </w:rPr>
        <w:t xml:space="preserve">, ierosināja disciplinārlietu pret </w:t>
      </w:r>
      <w:r>
        <w:rPr>
          <w:rStyle w:val="CharStyle11"/>
          <w:rFonts w:cs="Times New Roman"/>
          <w:szCs w:val="24"/>
        </w:rPr>
        <w:t>Vidzemes apgabaltiesas</w:t>
      </w:r>
      <w:r w:rsidRPr="00A504A4">
        <w:rPr>
          <w:rStyle w:val="CharStyle11"/>
          <w:rFonts w:cs="Times New Roman"/>
          <w:szCs w:val="24"/>
        </w:rPr>
        <w:t xml:space="preserve"> tiesnesi</w:t>
      </w:r>
      <w:r>
        <w:rPr>
          <w:rStyle w:val="CharStyle11"/>
          <w:rFonts w:cs="Times New Roman"/>
          <w:szCs w:val="24"/>
        </w:rPr>
        <w:t xml:space="preserve"> Santu Bernhardi</w:t>
      </w:r>
      <w:r w:rsidRPr="00C92EBF">
        <w:rPr>
          <w:rStyle w:val="CharStyle11"/>
        </w:rPr>
        <w:t xml:space="preserve"> par tīšiem likuma pārkāpumiem tiesas lietas izskatīšanā un/vai rupju nolaidību.</w:t>
      </w:r>
      <w:r w:rsidRPr="00C92EBF">
        <w:rPr>
          <w:rFonts w:eastAsia="Calibri" w:cs="Times New Roman"/>
          <w:szCs w:val="24"/>
        </w:rPr>
        <w:t xml:space="preserve"> Lēmumā norādīti šādi apstākļi.</w:t>
      </w:r>
    </w:p>
    <w:p w14:paraId="1B2BB65C" w14:textId="06E956C6" w:rsidR="003556A9" w:rsidRDefault="003556A9" w:rsidP="003556A9">
      <w:pPr>
        <w:ind w:firstLine="709"/>
        <w:rPr>
          <w:szCs w:val="24"/>
        </w:rPr>
      </w:pPr>
      <w:r w:rsidRPr="00C92EBF">
        <w:rPr>
          <w:rStyle w:val="CharStyle11"/>
        </w:rPr>
        <w:t>Pārbaudot Augstākajā tiesā 202</w:t>
      </w:r>
      <w:r>
        <w:rPr>
          <w:rStyle w:val="CharStyle11"/>
        </w:rPr>
        <w:t>5</w:t>
      </w:r>
      <w:r w:rsidRPr="00C92EBF">
        <w:rPr>
          <w:rStyle w:val="CharStyle11"/>
        </w:rPr>
        <w:t>.</w:t>
      </w:r>
      <w:r>
        <w:rPr>
          <w:rStyle w:val="CharStyle11"/>
        </w:rPr>
        <w:t> </w:t>
      </w:r>
      <w:r w:rsidRPr="00C92EBF">
        <w:rPr>
          <w:rStyle w:val="CharStyle11"/>
        </w:rPr>
        <w:t xml:space="preserve">gada </w:t>
      </w:r>
      <w:r>
        <w:t xml:space="preserve">6. janvārī </w:t>
      </w:r>
      <w:r w:rsidRPr="002403AF">
        <w:t>saņemt</w:t>
      </w:r>
      <w:r>
        <w:t>ajā</w:t>
      </w:r>
      <w:r w:rsidRPr="00320A1E">
        <w:rPr>
          <w:bCs/>
          <w:iCs/>
        </w:rPr>
        <w:t xml:space="preserve"> </w:t>
      </w:r>
      <w:bookmarkStart w:id="3" w:name="_Hlk209729492"/>
      <w:r w:rsidRPr="00BB438B">
        <w:rPr>
          <w:bCs/>
          <w:iCs/>
        </w:rPr>
        <w:t>SIA</w:t>
      </w:r>
      <w:r>
        <w:t xml:space="preserve"> </w:t>
      </w:r>
      <w:r>
        <w:rPr>
          <w:bCs/>
          <w:iCs/>
        </w:rPr>
        <w:t>„</w:t>
      </w:r>
      <w:r>
        <w:rPr>
          <w:bCs/>
          <w:iCs/>
        </w:rPr>
        <w:t>[..]</w:t>
      </w:r>
      <w:r w:rsidRPr="00BB438B">
        <w:rPr>
          <w:bCs/>
          <w:iCs/>
        </w:rPr>
        <w:t>” pārstāv</w:t>
      </w:r>
      <w:r>
        <w:rPr>
          <w:bCs/>
          <w:iCs/>
        </w:rPr>
        <w:t xml:space="preserve">ja </w:t>
      </w:r>
      <w:r>
        <w:t>zvērināta advokāta Rolanda Neilanda</w:t>
      </w:r>
      <w:bookmarkEnd w:id="3"/>
      <w:r>
        <w:t xml:space="preserve"> sūdzībā </w:t>
      </w:r>
      <w:r w:rsidRPr="00C92EBF">
        <w:rPr>
          <w:rStyle w:val="CharStyle11"/>
        </w:rPr>
        <w:t>norādītos apstākļus, konstatēts, ka</w:t>
      </w:r>
      <w:r>
        <w:t xml:space="preserve"> </w:t>
      </w:r>
      <w:r w:rsidRPr="00BB438B">
        <w:t xml:space="preserve">Vidzemes apgabaltiesas </w:t>
      </w:r>
      <w:r>
        <w:t>(iepriekš Rīgas rajona tiesas) tiesneses S. </w:t>
      </w:r>
      <w:proofErr w:type="spellStart"/>
      <w:r>
        <w:t>Bernhardes</w:t>
      </w:r>
      <w:proofErr w:type="spellEnd"/>
      <w:r>
        <w:t xml:space="preserve"> </w:t>
      </w:r>
      <w:r w:rsidRPr="00C92EBF">
        <w:rPr>
          <w:rStyle w:val="CharStyle11"/>
        </w:rPr>
        <w:t>tiesvedībā atradusies</w:t>
      </w:r>
      <w:r>
        <w:t xml:space="preserve"> civillieta Nr. </w:t>
      </w:r>
      <w:r>
        <w:t>[..]</w:t>
      </w:r>
      <w:r>
        <w:rPr>
          <w:szCs w:val="24"/>
        </w:rPr>
        <w:t xml:space="preserve">, </w:t>
      </w:r>
      <w:proofErr w:type="gramStart"/>
      <w:r>
        <w:rPr>
          <w:szCs w:val="24"/>
        </w:rPr>
        <w:t xml:space="preserve">kurā </w:t>
      </w:r>
      <w:r w:rsidRPr="00E36B34">
        <w:rPr>
          <w:szCs w:val="24"/>
        </w:rPr>
        <w:t>ignorēts pārstāvja lūgums tiesas paziņojumus sūtīt uz pārstāvja elektronisko pasta adresi</w:t>
      </w:r>
      <w:r>
        <w:rPr>
          <w:szCs w:val="24"/>
        </w:rPr>
        <w:t>, ar tiesneša rezolūciju divas</w:t>
      </w:r>
      <w:proofErr w:type="gramEnd"/>
      <w:r>
        <w:rPr>
          <w:szCs w:val="24"/>
        </w:rPr>
        <w:t xml:space="preserve"> reizes atteikts pieņemt pretprasības pieteikumu, nozīmējot tiesas sēdi, nav ņemts vērā</w:t>
      </w:r>
      <w:r w:rsidRPr="00E03126">
        <w:rPr>
          <w:szCs w:val="24"/>
        </w:rPr>
        <w:t xml:space="preserve"> </w:t>
      </w:r>
      <w:r w:rsidRPr="00EF7C35">
        <w:rPr>
          <w:szCs w:val="24"/>
        </w:rPr>
        <w:t>advokāta noslodzes kalendār</w:t>
      </w:r>
      <w:r>
        <w:rPr>
          <w:szCs w:val="24"/>
        </w:rPr>
        <w:t>s, procesuālie lēmumi nav motivēti.</w:t>
      </w:r>
    </w:p>
    <w:p w14:paraId="76FFB472" w14:textId="6F9A11CD" w:rsidR="003556A9" w:rsidRDefault="003556A9" w:rsidP="003556A9">
      <w:pPr>
        <w:ind w:firstLine="709"/>
      </w:pPr>
      <w:r w:rsidRPr="00B6519C">
        <w:rPr>
          <w:rFonts w:cs="Times New Roman"/>
          <w:bCs/>
          <w:szCs w:val="24"/>
        </w:rPr>
        <w:t>[1</w:t>
      </w:r>
      <w:r>
        <w:rPr>
          <w:rFonts w:cs="Times New Roman"/>
          <w:bCs/>
          <w:szCs w:val="24"/>
        </w:rPr>
        <w:t>.1</w:t>
      </w:r>
      <w:r w:rsidRPr="00B6519C">
        <w:rPr>
          <w:rFonts w:cs="Times New Roman"/>
          <w:bCs/>
          <w:szCs w:val="24"/>
        </w:rPr>
        <w:t>]</w:t>
      </w:r>
      <w:r>
        <w:rPr>
          <w:rFonts w:cs="Times New Roman"/>
          <w:bCs/>
          <w:szCs w:val="24"/>
        </w:rPr>
        <w:t xml:space="preserve"> Tiesnese</w:t>
      </w:r>
      <w:r>
        <w:t xml:space="preserve"> divas reizes, 2024. gada 10. septembrī un 14. oktobrī, ar rezolūcijas lēmumu atteica pieņemt atbildētājas </w:t>
      </w:r>
      <w:r w:rsidRPr="00BB438B">
        <w:rPr>
          <w:bCs/>
          <w:iCs/>
        </w:rPr>
        <w:t>SIA</w:t>
      </w:r>
      <w:r>
        <w:t xml:space="preserve"> </w:t>
      </w:r>
      <w:r>
        <w:rPr>
          <w:bCs/>
          <w:iCs/>
        </w:rPr>
        <w:t>„</w:t>
      </w:r>
      <w:r>
        <w:rPr>
          <w:bCs/>
          <w:iCs/>
        </w:rPr>
        <w:t>[..]</w:t>
      </w:r>
      <w:r w:rsidRPr="00BB438B">
        <w:rPr>
          <w:bCs/>
          <w:iCs/>
        </w:rPr>
        <w:t xml:space="preserve">” </w:t>
      </w:r>
      <w:r>
        <w:t>pretprasības pieteikumu.  A</w:t>
      </w:r>
      <w:r w:rsidRPr="0060420E">
        <w:t xml:space="preserve">tbildētājai </w:t>
      </w:r>
      <w:r>
        <w:t xml:space="preserve">par to paziņots </w:t>
      </w:r>
      <w:r w:rsidRPr="0060420E">
        <w:t xml:space="preserve">pa pastu, </w:t>
      </w:r>
      <w:r w:rsidRPr="00E36B34">
        <w:t>pārkāpjot elektroniskās saziņas prioritāt</w:t>
      </w:r>
      <w:r>
        <w:t>i.</w:t>
      </w:r>
    </w:p>
    <w:p w14:paraId="4ABA6F20" w14:textId="77777777" w:rsidR="003556A9" w:rsidRDefault="003556A9" w:rsidP="003556A9">
      <w:pPr>
        <w:ind w:firstLine="709"/>
      </w:pPr>
      <w:r>
        <w:rPr>
          <w:sz w:val="23"/>
          <w:szCs w:val="23"/>
        </w:rPr>
        <w:t xml:space="preserve">Gadījumi, kad lēmumi tiek pieņemti rezolūcijas veidā, ir </w:t>
      </w:r>
      <w:r w:rsidRPr="001D3BFE">
        <w:t xml:space="preserve">noteikti </w:t>
      </w:r>
      <w:bookmarkStart w:id="4" w:name="_Hlk209740463"/>
      <w:r>
        <w:t xml:space="preserve">Civilprocesa likuma </w:t>
      </w:r>
      <w:r w:rsidRPr="001D3BFE">
        <w:t>32.</w:t>
      </w:r>
      <w:r w:rsidRPr="001D3BFE">
        <w:rPr>
          <w:vertAlign w:val="superscript"/>
        </w:rPr>
        <w:t>1</w:t>
      </w:r>
      <w:r>
        <w:t> </w:t>
      </w:r>
      <w:r w:rsidRPr="001D3BFE">
        <w:t>panta ceturtajā daļā, 43.</w:t>
      </w:r>
      <w:r w:rsidRPr="001D3BFE">
        <w:rPr>
          <w:vertAlign w:val="superscript"/>
        </w:rPr>
        <w:t>3</w:t>
      </w:r>
      <w:r>
        <w:t> </w:t>
      </w:r>
      <w:r w:rsidRPr="001D3BFE">
        <w:t>pantā, 142.</w:t>
      </w:r>
      <w:r w:rsidRPr="001D3BFE">
        <w:rPr>
          <w:vertAlign w:val="superscript"/>
        </w:rPr>
        <w:t>1</w:t>
      </w:r>
      <w:r>
        <w:t> </w:t>
      </w:r>
      <w:r w:rsidRPr="001D3BFE">
        <w:t>panta otrajā daļā, 238.</w:t>
      </w:r>
      <w:r w:rsidRPr="001D3BFE">
        <w:rPr>
          <w:vertAlign w:val="superscript"/>
        </w:rPr>
        <w:t>1</w:t>
      </w:r>
      <w:r>
        <w:t> </w:t>
      </w:r>
      <w:r w:rsidRPr="001D3BFE">
        <w:t>panta desmitajā daļā, 244.</w:t>
      </w:r>
      <w:r w:rsidRPr="001D3BFE">
        <w:rPr>
          <w:vertAlign w:val="superscript"/>
        </w:rPr>
        <w:t>10</w:t>
      </w:r>
      <w:r>
        <w:t> </w:t>
      </w:r>
      <w:r w:rsidRPr="001D3BFE">
        <w:t>panta desmitajā daļā, 440.</w:t>
      </w:r>
      <w:r w:rsidRPr="001D3BFE">
        <w:rPr>
          <w:vertAlign w:val="superscript"/>
        </w:rPr>
        <w:t>8</w:t>
      </w:r>
      <w:r>
        <w:t> </w:t>
      </w:r>
      <w:r w:rsidRPr="001D3BFE">
        <w:t>panta septītajā un astotajā daļā, 464.</w:t>
      </w:r>
      <w:r>
        <w:t> </w:t>
      </w:r>
      <w:r w:rsidRPr="001D3BFE">
        <w:t xml:space="preserve">panta ceturtajā </w:t>
      </w:r>
      <w:proofErr w:type="spellStart"/>
      <w:r w:rsidRPr="00E00367">
        <w:rPr>
          <w:i/>
          <w:iCs/>
        </w:rPr>
        <w:t>prim</w:t>
      </w:r>
      <w:proofErr w:type="spellEnd"/>
      <w:r w:rsidRPr="001D3BFE">
        <w:rPr>
          <w:i/>
          <w:iCs/>
        </w:rPr>
        <w:t xml:space="preserve"> </w:t>
      </w:r>
      <w:r w:rsidRPr="001D3BFE">
        <w:t>daļā, 613.</w:t>
      </w:r>
      <w:r>
        <w:t> </w:t>
      </w:r>
      <w:r w:rsidRPr="001D3BFE">
        <w:t>panta devītajā daļā, 644.</w:t>
      </w:r>
      <w:r w:rsidRPr="001D3BFE">
        <w:rPr>
          <w:vertAlign w:val="superscript"/>
        </w:rPr>
        <w:t>18A</w:t>
      </w:r>
      <w:r>
        <w:t> </w:t>
      </w:r>
      <w:r w:rsidRPr="001D3BFE">
        <w:t xml:space="preserve">panta otrajā un ceturtajā daļā. </w:t>
      </w:r>
      <w:bookmarkEnd w:id="4"/>
    </w:p>
    <w:p w14:paraId="6D460640" w14:textId="77777777" w:rsidR="003556A9" w:rsidRDefault="003556A9" w:rsidP="003556A9">
      <w:pPr>
        <w:ind w:firstLine="709"/>
      </w:pPr>
      <w:r w:rsidRPr="001D3BFE">
        <w:t>Civilprocesa likum</w:t>
      </w:r>
      <w:r>
        <w:t>s neparedz</w:t>
      </w:r>
      <w:r w:rsidRPr="001D3BFE">
        <w:t xml:space="preserve"> lēmum</w:t>
      </w:r>
      <w:r>
        <w:t>a, ar kuru</w:t>
      </w:r>
      <w:r w:rsidRPr="001D3BFE">
        <w:t xml:space="preserve"> atteikt</w:t>
      </w:r>
      <w:r>
        <w:t>s</w:t>
      </w:r>
      <w:r w:rsidRPr="001D3BFE">
        <w:t xml:space="preserve"> pieņemt pretprasības pieteikumu</w:t>
      </w:r>
      <w:r>
        <w:t xml:space="preserve">, sastādīšanu </w:t>
      </w:r>
      <w:r w:rsidRPr="001D3BFE">
        <w:t>rezolūcijas veidā.</w:t>
      </w:r>
    </w:p>
    <w:p w14:paraId="326AA71C" w14:textId="608D6BE2" w:rsidR="003556A9" w:rsidRDefault="003556A9" w:rsidP="003556A9">
      <w:pPr>
        <w:ind w:firstLine="709"/>
      </w:pPr>
      <w:r>
        <w:t>[1.2]</w:t>
      </w:r>
      <w:bookmarkStart w:id="5" w:name="_Hlk209736169"/>
      <w:r>
        <w:t xml:space="preserve"> </w:t>
      </w:r>
      <w:r w:rsidRPr="00F10AA2">
        <w:t>2024.</w:t>
      </w:r>
      <w:r>
        <w:t> </w:t>
      </w:r>
      <w:r w:rsidRPr="00F10AA2">
        <w:t>gada 15.</w:t>
      </w:r>
      <w:r>
        <w:t> </w:t>
      </w:r>
      <w:r w:rsidRPr="00F10AA2">
        <w:t>oktobra tiesas sēdē SIA</w:t>
      </w:r>
      <w:r>
        <w:t xml:space="preserve"> „</w:t>
      </w:r>
      <w:r>
        <w:t>[..]</w:t>
      </w:r>
      <w:r w:rsidRPr="00F10AA2">
        <w:t>” piemēro</w:t>
      </w:r>
      <w:r>
        <w:t>ts</w:t>
      </w:r>
      <w:r w:rsidRPr="00F10AA2">
        <w:t xml:space="preserve"> naudas sod</w:t>
      </w:r>
      <w:r>
        <w:t xml:space="preserve">s </w:t>
      </w:r>
      <w:bookmarkEnd w:id="5"/>
      <w:r>
        <w:t xml:space="preserve">un atteikts pieņemt tiesai pieteikto noraidījumu. Lēmums par naudas sodu tiesas sēdes protokolā ierakstīts šādi: </w:t>
      </w:r>
      <w:r w:rsidRPr="00B01D42">
        <w:rPr>
          <w:i/>
          <w:iCs/>
          <w:szCs w:val="24"/>
        </w:rPr>
        <w:t xml:space="preserve">Tiesa: Nolemj piemērot atbildētājai SIA </w:t>
      </w:r>
      <w:r>
        <w:rPr>
          <w:i/>
          <w:iCs/>
          <w:szCs w:val="24"/>
        </w:rPr>
        <w:t>„</w:t>
      </w:r>
      <w:r>
        <w:rPr>
          <w:i/>
          <w:iCs/>
          <w:szCs w:val="24"/>
        </w:rPr>
        <w:t>[..]</w:t>
      </w:r>
      <w:r>
        <w:rPr>
          <w:i/>
          <w:iCs/>
          <w:szCs w:val="24"/>
        </w:rPr>
        <w:t>”</w:t>
      </w:r>
      <w:r w:rsidRPr="00B01D42">
        <w:rPr>
          <w:i/>
          <w:iCs/>
          <w:szCs w:val="24"/>
        </w:rPr>
        <w:t xml:space="preserve"> naudas sodu par </w:t>
      </w:r>
      <w:r w:rsidRPr="00B01D42">
        <w:rPr>
          <w:i/>
          <w:iCs/>
          <w:szCs w:val="24"/>
        </w:rPr>
        <w:lastRenderedPageBreak/>
        <w:t>rakstveida paskaidrojumu neiesniegšanu 150 euro apmērā. Norāda, ka saskaņā ar Civilprocesa likuma 68.</w:t>
      </w:r>
      <w:r>
        <w:rPr>
          <w:i/>
          <w:iCs/>
          <w:szCs w:val="24"/>
        </w:rPr>
        <w:t> </w:t>
      </w:r>
      <w:r w:rsidRPr="00B01D42">
        <w:rPr>
          <w:i/>
          <w:iCs/>
          <w:szCs w:val="24"/>
        </w:rPr>
        <w:t>pantu atbildētājai ir tiesības 10 dienu laikā lūgt samazināt vai atcelt piemēroto naudas sodu.</w:t>
      </w:r>
    </w:p>
    <w:p w14:paraId="40999957" w14:textId="77777777" w:rsidR="003556A9" w:rsidRDefault="003556A9" w:rsidP="003556A9">
      <w:pPr>
        <w:ind w:firstLine="720"/>
      </w:pPr>
      <w:r>
        <w:t>Lēmums nepieņemt noraidījumu tiesas sēdē fiksēts šādi:</w:t>
      </w:r>
      <w:r w:rsidRPr="00C87B69">
        <w:rPr>
          <w:i/>
          <w:iCs/>
          <w:szCs w:val="24"/>
        </w:rPr>
        <w:t xml:space="preserve"> </w:t>
      </w:r>
      <w:r w:rsidRPr="00000003">
        <w:rPr>
          <w:i/>
          <w:iCs/>
          <w:szCs w:val="24"/>
        </w:rPr>
        <w:t>Tiesa: Nolemj nepieņemt izteikto noraidījumu, tā kā tas nav pamatots, turklāt lieta uzsākta 2022.</w:t>
      </w:r>
      <w:r>
        <w:rPr>
          <w:i/>
          <w:iCs/>
          <w:szCs w:val="24"/>
        </w:rPr>
        <w:t> </w:t>
      </w:r>
      <w:r w:rsidRPr="00000003">
        <w:rPr>
          <w:i/>
          <w:iCs/>
          <w:szCs w:val="24"/>
        </w:rPr>
        <w:t>gadā un nav vēl sākta skatīt pēc būtības.</w:t>
      </w:r>
    </w:p>
    <w:p w14:paraId="5F9C72F9" w14:textId="4742648F" w:rsidR="003556A9" w:rsidRPr="002B7E2B" w:rsidRDefault="003556A9" w:rsidP="003556A9">
      <w:pPr>
        <w:ind w:firstLine="720"/>
      </w:pPr>
      <w:r>
        <w:t xml:space="preserve">Savukārt </w:t>
      </w:r>
      <w:r w:rsidRPr="00F10AA2">
        <w:t>2024.</w:t>
      </w:r>
      <w:r>
        <w:t> </w:t>
      </w:r>
      <w:r w:rsidRPr="00F10AA2">
        <w:t>gada 21.</w:t>
      </w:r>
      <w:r>
        <w:t> </w:t>
      </w:r>
      <w:r w:rsidRPr="00F10AA2">
        <w:t>novembr</w:t>
      </w:r>
      <w:r>
        <w:t xml:space="preserve">a tiesas sēdē noraidīts atbildētājas pārstāvja lūgums par atbrīvošanu no naudas soda. Tiesas sēdes protokolā izdarīts šāds ieraksts: </w:t>
      </w:r>
      <w:r w:rsidRPr="00B01D42">
        <w:rPr>
          <w:i/>
          <w:iCs/>
          <w:szCs w:val="24"/>
        </w:rPr>
        <w:t xml:space="preserve">Tiesa noraida SIA </w:t>
      </w:r>
      <w:r>
        <w:rPr>
          <w:i/>
          <w:iCs/>
          <w:szCs w:val="24"/>
        </w:rPr>
        <w:t>„</w:t>
      </w:r>
      <w:r>
        <w:rPr>
          <w:i/>
          <w:iCs/>
          <w:szCs w:val="24"/>
        </w:rPr>
        <w:t>[..]</w:t>
      </w:r>
      <w:r>
        <w:rPr>
          <w:i/>
          <w:iCs/>
          <w:szCs w:val="24"/>
        </w:rPr>
        <w:t>”</w:t>
      </w:r>
      <w:r w:rsidRPr="00B01D42">
        <w:rPr>
          <w:i/>
          <w:iCs/>
          <w:szCs w:val="24"/>
        </w:rPr>
        <w:t xml:space="preserve"> pārstāvja R.</w:t>
      </w:r>
      <w:r>
        <w:rPr>
          <w:i/>
          <w:iCs/>
          <w:szCs w:val="24"/>
        </w:rPr>
        <w:t> </w:t>
      </w:r>
      <w:r w:rsidRPr="00B01D42">
        <w:rPr>
          <w:i/>
          <w:iCs/>
          <w:szCs w:val="24"/>
        </w:rPr>
        <w:t>Neilanda pieteikto lūgumu par atbrīvošanu no naudas soda. Lēmums nav pārsūdzams, bet par to iebildumus var izteikt apelācijas sūdzībā, ja tā tiks sniegta.</w:t>
      </w:r>
    </w:p>
    <w:p w14:paraId="0FF3A888" w14:textId="77777777" w:rsidR="003556A9" w:rsidRDefault="003556A9" w:rsidP="003556A9">
      <w:pPr>
        <w:ind w:firstLine="720"/>
      </w:pPr>
      <w:r>
        <w:t xml:space="preserve">[1.2.1] </w:t>
      </w:r>
      <w:r w:rsidRPr="00B01D42">
        <w:t>Saskaņā ar Civilprocesa likuma 229.</w:t>
      </w:r>
      <w:r>
        <w:t> </w:t>
      </w:r>
      <w:r w:rsidRPr="00B01D42">
        <w:t>panta pirmo daļu tiesas nolēmumu, ar kuru lieta netiek izspriesta pēc būtības, pieņem lēmuma veidā, un atbilstoši š</w:t>
      </w:r>
      <w:r>
        <w:t>ā</w:t>
      </w:r>
      <w:r w:rsidRPr="00B01D42">
        <w:t xml:space="preserve"> panta otrajai daļai lēmumu sastāda atsevišķa procesuālā dokumenta veidā vai ieraksta tiesas sēdes protokolā un pasludina pēc tā pieņemšanas.</w:t>
      </w:r>
    </w:p>
    <w:p w14:paraId="1195165E" w14:textId="77777777" w:rsidR="003556A9" w:rsidRDefault="003556A9" w:rsidP="003556A9">
      <w:pPr>
        <w:ind w:firstLine="720"/>
      </w:pPr>
      <w:r w:rsidRPr="00B01D42">
        <w:t>Uz abiem šo lēmumu veidiem attiecas Civilprocesa likuma 230.</w:t>
      </w:r>
      <w:r>
        <w:t> </w:t>
      </w:r>
      <w:r w:rsidRPr="00B01D42">
        <w:t>panta prasības, tostarp tā pirmajā un ceturtajā daļā ietvertā prasība norādīt lēmuma motīvus.</w:t>
      </w:r>
    </w:p>
    <w:p w14:paraId="1F87C707" w14:textId="77777777" w:rsidR="003556A9" w:rsidRDefault="003556A9" w:rsidP="003556A9">
      <w:pPr>
        <w:ind w:firstLine="720"/>
      </w:pPr>
      <w:r w:rsidRPr="00B01D42">
        <w:t xml:space="preserve">Līdz ar to </w:t>
      </w:r>
      <w:r>
        <w:t>tiesai</w:t>
      </w:r>
      <w:r w:rsidRPr="00B01D42">
        <w:t>, lai arī tā</w:t>
      </w:r>
      <w:r>
        <w:t>,</w:t>
      </w:r>
      <w:r w:rsidRPr="00B01D42">
        <w:t xml:space="preserve"> </w:t>
      </w:r>
      <w:r>
        <w:t xml:space="preserve">uzliekot naudas sodu, atsakoties pieņemt noraidījumu un noraidot lūgumu par atbrīvošanu no tā, </w:t>
      </w:r>
      <w:r w:rsidRPr="00B01D42">
        <w:t>nepieņēma lēmumu atsevišķa procesuālā dokumenta veidā, bet izvēlējās to</w:t>
      </w:r>
      <w:r>
        <w:t>s</w:t>
      </w:r>
      <w:r w:rsidRPr="00B01D42">
        <w:t xml:space="preserve"> ierakstīt tiesas sēdes protokolā, šis lēmums bija jāmotivē un motīvi jāfiksē tiesas sēdes protokolā, ko tiesa nav darījusi, pārkāpjot iepriekšminētās procesuālo tiesību normas</w:t>
      </w:r>
      <w:r>
        <w:t xml:space="preserve">, jo </w:t>
      </w:r>
      <w:r w:rsidRPr="00B01D42">
        <w:t>skaņu ieraksts nav uzskatāms par tiesas sēdes protokolu.</w:t>
      </w:r>
      <w:r>
        <w:t xml:space="preserve"> Atziņa, ka </w:t>
      </w:r>
      <w:r w:rsidRPr="00B01D42">
        <w:t>skaņu ieraksts nav uzskatāms par tiesas sēdes protokolu</w:t>
      </w:r>
      <w:r>
        <w:t>, nostiprināta Senāta Civillietu departamenta 2020. gada 21. maija spriedumā lietā Nr. </w:t>
      </w:r>
      <w:r w:rsidRPr="00A939EC">
        <w:t>SKC-220/2020</w:t>
      </w:r>
      <w:r>
        <w:t xml:space="preserve">. </w:t>
      </w:r>
    </w:p>
    <w:p w14:paraId="36EB17D5" w14:textId="77777777" w:rsidR="003556A9" w:rsidRDefault="003556A9" w:rsidP="003556A9">
      <w:pPr>
        <w:ind w:firstLine="720"/>
      </w:pPr>
      <w:r w:rsidRPr="009C6F37">
        <w:t>Lēmumā sniedzamā pamatojuma apjoms un saturs ir atkarīgs no lēmuma veida, lēmuma nozīmes lietā, izlemjamā jautājuma būtības, kā arī tiesiskajām sekām, ko tas rada tiesvedībā iesaistītajiem tiesību subjektiem</w:t>
      </w:r>
      <w:r>
        <w:t xml:space="preserve"> (sk. </w:t>
      </w:r>
      <w:r w:rsidRPr="00BB52CE">
        <w:rPr>
          <w:i/>
          <w:iCs/>
        </w:rPr>
        <w:t>Tiesnešu disciplinārkolēģijas 2025. gada 11. aprīļa lēmuma</w:t>
      </w:r>
      <w:r>
        <w:rPr>
          <w:i/>
          <w:iCs/>
        </w:rPr>
        <w:t xml:space="preserve"> lietā Nr. D-3/2025</w:t>
      </w:r>
      <w:r w:rsidRPr="00BB52CE">
        <w:rPr>
          <w:i/>
          <w:iCs/>
        </w:rPr>
        <w:t xml:space="preserve"> [9</w:t>
      </w:r>
      <w:r>
        <w:rPr>
          <w:i/>
          <w:iCs/>
        </w:rPr>
        <w:t>.</w:t>
      </w:r>
      <w:r w:rsidRPr="00BB52CE">
        <w:rPr>
          <w:i/>
          <w:iCs/>
        </w:rPr>
        <w:t>] punktu</w:t>
      </w:r>
      <w:r>
        <w:t xml:space="preserve">). Konkrētajā gadījumā lēmuma </w:t>
      </w:r>
      <w:r w:rsidRPr="009C6F37">
        <w:t>(par naudas soda uzlikšanu un neatbrīvošanu no tā)</w:t>
      </w:r>
      <w:r>
        <w:t xml:space="preserve"> </w:t>
      </w:r>
      <w:r w:rsidRPr="009C6F37">
        <w:t>atspoguļošana tiesas sēdes protokolā ir saistāma ne tikai ar tā veidu un tiesiskajām sekām, bet arī ar tā izpildi, tajā skaitā piespiedu kārtā.</w:t>
      </w:r>
      <w:r>
        <w:t xml:space="preserve"> </w:t>
      </w:r>
    </w:p>
    <w:p w14:paraId="73FE1A5F" w14:textId="77777777" w:rsidR="003556A9" w:rsidRDefault="003556A9" w:rsidP="003556A9">
      <w:pPr>
        <w:ind w:firstLine="720"/>
      </w:pPr>
      <w:r>
        <w:t xml:space="preserve">[1.3] Tiesnese ir pārkāpusi </w:t>
      </w:r>
      <w:r w:rsidRPr="00722782">
        <w:t>likuma „Par Tiesu varu” 28.</w:t>
      </w:r>
      <w:r w:rsidRPr="00357B40">
        <w:rPr>
          <w:vertAlign w:val="superscript"/>
        </w:rPr>
        <w:t>6</w:t>
      </w:r>
      <w:r>
        <w:t> </w:t>
      </w:r>
      <w:r w:rsidRPr="00722782">
        <w:t xml:space="preserve">panta pieci </w:t>
      </w:r>
      <w:proofErr w:type="spellStart"/>
      <w:r w:rsidRPr="00357B40">
        <w:rPr>
          <w:i/>
          <w:iCs/>
        </w:rPr>
        <w:t>prim</w:t>
      </w:r>
      <w:proofErr w:type="spellEnd"/>
      <w:r w:rsidRPr="00722782">
        <w:t xml:space="preserve"> daļ</w:t>
      </w:r>
      <w:r>
        <w:t xml:space="preserve">as normu, kas notiec, ka </w:t>
      </w:r>
      <w:r w:rsidRPr="00000003">
        <w:rPr>
          <w:szCs w:val="24"/>
        </w:rPr>
        <w:t>Tiesas sēžu kalendārā veiktā atzīme par tiesas sēdes datuma un laika noteikšanu ir saistoša, plānojot lietu izskatīšanu tiesas sēdē ar tā zvērināta advokāta vai prokurora piedalīšanos, kura piedalīšanās citā tiesas sēdē jau atzīmēta tiesas sēžu kalendārā.</w:t>
      </w:r>
    </w:p>
    <w:p w14:paraId="7646A01A" w14:textId="1DC711E6" w:rsidR="003556A9" w:rsidRDefault="003556A9" w:rsidP="003556A9">
      <w:pPr>
        <w:ind w:firstLine="720"/>
        <w:rPr>
          <w:szCs w:val="24"/>
        </w:rPr>
      </w:pPr>
      <w:r>
        <w:rPr>
          <w:szCs w:val="24"/>
        </w:rPr>
        <w:t>[1.3.1] Lietā p</w:t>
      </w:r>
      <w:r w:rsidRPr="00EF7C35">
        <w:rPr>
          <w:szCs w:val="24"/>
        </w:rPr>
        <w:t>irms 2024.</w:t>
      </w:r>
      <w:r>
        <w:rPr>
          <w:szCs w:val="24"/>
        </w:rPr>
        <w:t> </w:t>
      </w:r>
      <w:r w:rsidRPr="00EF7C35">
        <w:rPr>
          <w:szCs w:val="24"/>
        </w:rPr>
        <w:t>gada 21.</w:t>
      </w:r>
      <w:r>
        <w:rPr>
          <w:szCs w:val="24"/>
        </w:rPr>
        <w:t> </w:t>
      </w:r>
      <w:r w:rsidRPr="00EF7C35">
        <w:rPr>
          <w:szCs w:val="24"/>
        </w:rPr>
        <w:t>novembr</w:t>
      </w:r>
      <w:r>
        <w:rPr>
          <w:szCs w:val="24"/>
        </w:rPr>
        <w:t>a</w:t>
      </w:r>
      <w:r w:rsidRPr="00EF7C35">
        <w:rPr>
          <w:szCs w:val="24"/>
        </w:rPr>
        <w:t xml:space="preserve"> tiesas sēdes </w:t>
      </w:r>
      <w:r>
        <w:rPr>
          <w:szCs w:val="24"/>
        </w:rPr>
        <w:t>nozīmēšanas</w:t>
      </w:r>
      <w:r w:rsidRPr="00EF7C35">
        <w:rPr>
          <w:szCs w:val="24"/>
        </w:rPr>
        <w:t xml:space="preserve"> civillietā Nr.</w:t>
      </w:r>
      <w:r>
        <w:rPr>
          <w:szCs w:val="24"/>
        </w:rPr>
        <w:t> </w:t>
      </w:r>
      <w:r>
        <w:rPr>
          <w:szCs w:val="24"/>
        </w:rPr>
        <w:t>[..]</w:t>
      </w:r>
      <w:r>
        <w:rPr>
          <w:szCs w:val="24"/>
        </w:rPr>
        <w:t>, SIA „</w:t>
      </w:r>
      <w:r>
        <w:rPr>
          <w:szCs w:val="24"/>
        </w:rPr>
        <w:t>[..]</w:t>
      </w:r>
      <w:r>
        <w:rPr>
          <w:szCs w:val="24"/>
        </w:rPr>
        <w:t xml:space="preserve">” pārstāvim </w:t>
      </w:r>
      <w:r w:rsidRPr="00EF7C35">
        <w:rPr>
          <w:szCs w:val="24"/>
        </w:rPr>
        <w:t>bija ierakstītas divas tiesas sēdes</w:t>
      </w:r>
      <w:r>
        <w:rPr>
          <w:szCs w:val="24"/>
        </w:rPr>
        <w:t xml:space="preserve"> </w:t>
      </w:r>
      <w:r w:rsidRPr="00EF7C35">
        <w:rPr>
          <w:szCs w:val="24"/>
        </w:rPr>
        <w:t>civillietā</w:t>
      </w:r>
      <w:r>
        <w:rPr>
          <w:szCs w:val="24"/>
        </w:rPr>
        <w:t>s</w:t>
      </w:r>
      <w:r w:rsidRPr="00EF7C35">
        <w:rPr>
          <w:szCs w:val="24"/>
        </w:rPr>
        <w:t xml:space="preserve"> Nr.</w:t>
      </w:r>
      <w:r>
        <w:rPr>
          <w:szCs w:val="24"/>
        </w:rPr>
        <w:t> </w:t>
      </w:r>
      <w:r>
        <w:rPr>
          <w:szCs w:val="24"/>
        </w:rPr>
        <w:t>[..]</w:t>
      </w:r>
      <w:r w:rsidRPr="00EF7C35">
        <w:rPr>
          <w:szCs w:val="24"/>
        </w:rPr>
        <w:t xml:space="preserve"> </w:t>
      </w:r>
      <w:r>
        <w:rPr>
          <w:szCs w:val="24"/>
        </w:rPr>
        <w:t xml:space="preserve">un </w:t>
      </w:r>
      <w:r w:rsidRPr="00EF7C35">
        <w:rPr>
          <w:szCs w:val="24"/>
        </w:rPr>
        <w:t>Nr.</w:t>
      </w:r>
      <w:r>
        <w:rPr>
          <w:szCs w:val="24"/>
        </w:rPr>
        <w:t> </w:t>
      </w:r>
      <w:r>
        <w:rPr>
          <w:szCs w:val="24"/>
        </w:rPr>
        <w:t>[..]</w:t>
      </w:r>
      <w:r>
        <w:rPr>
          <w:szCs w:val="24"/>
        </w:rPr>
        <w:t>, par ko pārstāvis informēja tiesu 2024. gada 8. un 11. novembra iesniegumos. Nozīmējot tiesas sēdi, nav ņemts vērā</w:t>
      </w:r>
      <w:r w:rsidRPr="00E03126">
        <w:rPr>
          <w:szCs w:val="24"/>
        </w:rPr>
        <w:t xml:space="preserve"> </w:t>
      </w:r>
      <w:r w:rsidRPr="00EF7C35">
        <w:rPr>
          <w:szCs w:val="24"/>
        </w:rPr>
        <w:t>advokāta noslodzes kalendār</w:t>
      </w:r>
      <w:r>
        <w:rPr>
          <w:szCs w:val="24"/>
        </w:rPr>
        <w:t>s.</w:t>
      </w:r>
    </w:p>
    <w:p w14:paraId="0E78ED60" w14:textId="369A88B9" w:rsidR="003556A9" w:rsidRDefault="003556A9" w:rsidP="003556A9">
      <w:pPr>
        <w:ind w:firstLine="720"/>
      </w:pPr>
      <w:r>
        <w:t xml:space="preserve">[1.3.2] Vienlaikus no Tiesu informācijas sistēmas redzams, ka atbildētāju </w:t>
      </w:r>
      <w:r w:rsidRPr="006E4620">
        <w:t>SIA „</w:t>
      </w:r>
      <w:r>
        <w:t>[..]</w:t>
      </w:r>
      <w:r w:rsidRPr="006E4620">
        <w:t>”</w:t>
      </w:r>
      <w:r>
        <w:t xml:space="preserve"> pārstāvējis arī tās valdes loceklis </w:t>
      </w:r>
      <w:r>
        <w:t>[..]</w:t>
      </w:r>
      <w:r>
        <w:t xml:space="preserve">, sabiedrības vārdā parakstot procesuālus dokumentus, </w:t>
      </w:r>
      <w:proofErr w:type="gramStart"/>
      <w:r>
        <w:t>un</w:t>
      </w:r>
      <w:proofErr w:type="gramEnd"/>
      <w:r>
        <w:t xml:space="preserve"> kuram nebija šķēršļu ierasties uz tiesas sēdi, kurā tika izskatīta procesuālas sankcijas atcelšana </w:t>
      </w:r>
      <w:r w:rsidRPr="000A2F53">
        <w:t xml:space="preserve">SIA </w:t>
      </w:r>
      <w:r>
        <w:t>„</w:t>
      </w:r>
      <w:r>
        <w:t>[..]</w:t>
      </w:r>
      <w:r w:rsidRPr="000A2F53">
        <w:t>”</w:t>
      </w:r>
      <w:r>
        <w:t>.</w:t>
      </w:r>
    </w:p>
    <w:p w14:paraId="50372CF4" w14:textId="77777777" w:rsidR="003556A9" w:rsidRDefault="003556A9" w:rsidP="003556A9">
      <w:pPr>
        <w:ind w:firstLine="709"/>
        <w:rPr>
          <w:rFonts w:eastAsia="Calibri" w:cs="Times New Roman"/>
          <w:szCs w:val="24"/>
        </w:rPr>
      </w:pPr>
    </w:p>
    <w:p w14:paraId="6FC46581" w14:textId="77777777" w:rsidR="003556A9" w:rsidRDefault="003556A9" w:rsidP="003556A9">
      <w:pPr>
        <w:ind w:firstLine="709"/>
      </w:pPr>
      <w:r>
        <w:rPr>
          <w:rFonts w:eastAsia="Calibri" w:cs="Times New Roman"/>
          <w:szCs w:val="24"/>
        </w:rPr>
        <w:t>[2] Tiesneses S. </w:t>
      </w:r>
      <w:proofErr w:type="spellStart"/>
      <w:r>
        <w:rPr>
          <w:rFonts w:eastAsia="Calibri" w:cs="Times New Roman"/>
          <w:szCs w:val="24"/>
        </w:rPr>
        <w:t>Bernhardes</w:t>
      </w:r>
      <w:proofErr w:type="spellEnd"/>
      <w:r>
        <w:rPr>
          <w:rFonts w:eastAsia="Calibri" w:cs="Times New Roman"/>
          <w:szCs w:val="24"/>
        </w:rPr>
        <w:t xml:space="preserve"> paskaidrojumā </w:t>
      </w:r>
      <w:r>
        <w:t xml:space="preserve">Augstākās tiesas priekšsēdētājam pirms disciplinārlietas ierosināšanas </w:t>
      </w:r>
      <w:r w:rsidRPr="00072C2A">
        <w:t>norādīts turpmāk minētais.</w:t>
      </w:r>
    </w:p>
    <w:p w14:paraId="5C76F009" w14:textId="77777777" w:rsidR="003556A9" w:rsidRDefault="003556A9" w:rsidP="003556A9">
      <w:pPr>
        <w:ind w:firstLine="709"/>
      </w:pPr>
      <w:r>
        <w:t xml:space="preserve">[2.1] </w:t>
      </w:r>
      <w:r w:rsidRPr="000A2F53">
        <w:t xml:space="preserve">Attiecībā </w:t>
      </w:r>
      <w:r>
        <w:t>par</w:t>
      </w:r>
      <w:r w:rsidRPr="000A2F53">
        <w:t xml:space="preserve"> tiesas dokumentu tīšu nesūtīšanu uz advokāta norādīto </w:t>
      </w:r>
      <w:r>
        <w:t xml:space="preserve">elektroniskā pasta adresi </w:t>
      </w:r>
      <w:r w:rsidRPr="000A2F53">
        <w:t xml:space="preserve">un tiesas </w:t>
      </w:r>
      <w:r>
        <w:t>p</w:t>
      </w:r>
      <w:r w:rsidRPr="000A2F53">
        <w:t xml:space="preserve">ieņemto lēmumu rezolūcijas veidā atteikties pieņemt pretprasības pieteikumu </w:t>
      </w:r>
      <w:r>
        <w:t>sūtīšanu</w:t>
      </w:r>
      <w:r w:rsidRPr="000A2F53">
        <w:t xml:space="preserve"> </w:t>
      </w:r>
      <w:r>
        <w:t xml:space="preserve">tiesnese paskaidroja, ka </w:t>
      </w:r>
      <w:r w:rsidRPr="000A2F53">
        <w:t>atbilstoši Civilprocesa likuma 56.</w:t>
      </w:r>
      <w:r>
        <w:t> </w:t>
      </w:r>
      <w:r w:rsidRPr="000A2F53">
        <w:t xml:space="preserve">panta </w:t>
      </w:r>
      <w:r>
        <w:t xml:space="preserve">nosacījumiem </w:t>
      </w:r>
      <w:r w:rsidRPr="000A2F53">
        <w:t>tiesas pavēstes un citus tiesas dokumentus lietas dalībniekiem nosūta tiesa, savukārt atbilstoši tiesas sēžu sekretāra un tiesneša palīga amatu aprakstiem šos pienākumus pilda tiesas sastāvs.</w:t>
      </w:r>
      <w:r>
        <w:t xml:space="preserve"> Tiesas dokumentu nosūtīšana nav notikusi</w:t>
      </w:r>
      <w:r w:rsidRPr="000A2F53">
        <w:t xml:space="preserve"> atbilstoši Civilprocesa likumā norādītajai kārtībai</w:t>
      </w:r>
      <w:r>
        <w:t xml:space="preserve"> </w:t>
      </w:r>
      <w:r w:rsidRPr="000A2F53">
        <w:t xml:space="preserve">tiesas darbinieku </w:t>
      </w:r>
      <w:r>
        <w:t xml:space="preserve">vakanču </w:t>
      </w:r>
      <w:r w:rsidRPr="000A2F53">
        <w:t>aizpildīšanas problēm</w:t>
      </w:r>
      <w:r>
        <w:t>u un darbinieku mainības dēļ.</w:t>
      </w:r>
    </w:p>
    <w:p w14:paraId="59E371F1" w14:textId="4F1ACBD8" w:rsidR="003556A9" w:rsidRDefault="003556A9" w:rsidP="003556A9">
      <w:pPr>
        <w:ind w:firstLine="709"/>
      </w:pPr>
      <w:r>
        <w:t xml:space="preserve">[2.2] Par atteikumu </w:t>
      </w:r>
      <w:r w:rsidRPr="000A2F53">
        <w:t>pieņemt pretprasības pieteikumu</w:t>
      </w:r>
      <w:r>
        <w:t xml:space="preserve"> ar </w:t>
      </w:r>
      <w:r w:rsidRPr="000A2F53">
        <w:t>tiesneša rezolūciju</w:t>
      </w:r>
      <w:r>
        <w:t xml:space="preserve"> tiesnese paskaidroja, ka m</w:t>
      </w:r>
      <w:r w:rsidRPr="000A2F53">
        <w:t xml:space="preserve">inētie jautājumi un SIA </w:t>
      </w:r>
      <w:r>
        <w:t>„</w:t>
      </w:r>
      <w:r w:rsidR="00163A2A">
        <w:t>[..]</w:t>
      </w:r>
      <w:r w:rsidRPr="000A2F53">
        <w:t xml:space="preserve">” pieteiktie lūgumi tika izlemti </w:t>
      </w:r>
      <w:r>
        <w:t xml:space="preserve">arī </w:t>
      </w:r>
      <w:r w:rsidRPr="000A2F53">
        <w:t xml:space="preserve">tiesas sēdē, tajā skaitā </w:t>
      </w:r>
      <w:r>
        <w:t xml:space="preserve">papildus rezolūcijas lēmumā norādītajam tika </w:t>
      </w:r>
      <w:r w:rsidRPr="000A2F53">
        <w:t xml:space="preserve">izskaidrots tiesneša lēmums nepieņemt pretprasību. Lēmums par pretprasības nepieņemšanu nav pārsūdzams, un tas neliedz lietas dalībniekam celt atsevišķu prasību, ko SIA </w:t>
      </w:r>
      <w:r>
        <w:t>„</w:t>
      </w:r>
      <w:r w:rsidR="00163A2A">
        <w:t>[..]</w:t>
      </w:r>
      <w:r w:rsidRPr="000A2F53">
        <w:t>” arī ir izdarījusi</w:t>
      </w:r>
      <w:r>
        <w:t>. P</w:t>
      </w:r>
      <w:r w:rsidRPr="000A2F53">
        <w:t xml:space="preserve">ārstāvja rīcība </w:t>
      </w:r>
      <w:r>
        <w:t xml:space="preserve">liecināja par </w:t>
      </w:r>
      <w:r w:rsidRPr="000A2F53">
        <w:t>vēlmi novilcināt lietas izskatīšanu pēc būtības, izmantojot visus pieejamos procesuālos līdzekļus</w:t>
      </w:r>
      <w:r>
        <w:t>.</w:t>
      </w:r>
    </w:p>
    <w:p w14:paraId="0597213E" w14:textId="77777777" w:rsidR="003556A9" w:rsidRDefault="003556A9" w:rsidP="003556A9">
      <w:pPr>
        <w:ind w:firstLine="709"/>
      </w:pPr>
      <w:r>
        <w:t>[2.3] Atbilstoši Civilprocesa likuma 61. panta pirmajai daļai tiesas sēdes ieraksts un tiesas sēdes protokols ir savstarpēji neatņemamas sastāvdaļas. Rakstveida tiesas sēdes protokols ir kā palīginstruments skaņu ierakstam, un tajā nevar tikt atspoguļota informācija, kura neatbilstu skaņu ierakstā dzirdamajam. Nevar piekrist, ka tiesas sēdes skaņu ieraksts nav uzskatāms par tiesas sēdes protokolu.</w:t>
      </w:r>
    </w:p>
    <w:p w14:paraId="11E2F036" w14:textId="77777777" w:rsidR="003556A9" w:rsidRDefault="003556A9" w:rsidP="003556A9">
      <w:pPr>
        <w:ind w:firstLine="709"/>
      </w:pPr>
      <w:r>
        <w:t>[2.4] Civilprocesa likuma 21. panta trešā daļa nenosaka tiesnesim pienākumu izlemt pieteikto noraidījumu atsevišķa procesuāla dokumenta veidā. Gadījumos, kad pieteiktais noraidījums ir komplicēts, tiek pieņemts lēmums atsevišķa procesuāla dokumenta veidā.</w:t>
      </w:r>
    </w:p>
    <w:p w14:paraId="4A26134B" w14:textId="026CFC32" w:rsidR="003556A9" w:rsidRDefault="003556A9" w:rsidP="003556A9">
      <w:pPr>
        <w:ind w:firstLine="709"/>
      </w:pPr>
      <w:r>
        <w:t>[2.5] Situācija, kādēļ netika ievērots zvērināta advokāta noslodzes kalendārs, izveidojās, jo tiesneses</w:t>
      </w:r>
      <w:r w:rsidRPr="000A2F53">
        <w:t xml:space="preserve"> pēdējā darba diena Rīgas rajona tiesā Jūrmalā bija 2024.</w:t>
      </w:r>
      <w:r>
        <w:t> </w:t>
      </w:r>
      <w:r w:rsidRPr="000A2F53">
        <w:t>gada 28.</w:t>
      </w:r>
      <w:r>
        <w:t> </w:t>
      </w:r>
      <w:r w:rsidRPr="000A2F53">
        <w:t xml:space="preserve">novembris, </w:t>
      </w:r>
      <w:r>
        <w:t>un</w:t>
      </w:r>
      <w:r w:rsidRPr="000A2F53">
        <w:t xml:space="preserve"> </w:t>
      </w:r>
      <w:r>
        <w:t xml:space="preserve">tiesnese </w:t>
      </w:r>
      <w:r w:rsidRPr="000A2F53">
        <w:t>vēlēj</w:t>
      </w:r>
      <w:r>
        <w:t>ās</w:t>
      </w:r>
      <w:r w:rsidRPr="000A2F53">
        <w:t xml:space="preserve"> visus jautājumus, kas saistīti ar šīs civillietas izskatīšanu</w:t>
      </w:r>
      <w:r>
        <w:t>,</w:t>
      </w:r>
      <w:r w:rsidRPr="000A2F53">
        <w:t xml:space="preserve"> izlemt līdz 2024.</w:t>
      </w:r>
      <w:r>
        <w:t> </w:t>
      </w:r>
      <w:r w:rsidRPr="000A2F53">
        <w:t>gada 28.</w:t>
      </w:r>
      <w:r>
        <w:t> </w:t>
      </w:r>
      <w:r w:rsidRPr="000A2F53">
        <w:t>novembrim</w:t>
      </w:r>
      <w:r>
        <w:t xml:space="preserve">. Tāpat nav mazsvarīgi, ka </w:t>
      </w:r>
      <w:r w:rsidRPr="000A2F53">
        <w:t xml:space="preserve">SIA </w:t>
      </w:r>
      <w:r>
        <w:t>„</w:t>
      </w:r>
      <w:r w:rsidR="00163A2A">
        <w:t>[..]</w:t>
      </w:r>
      <w:r w:rsidRPr="000A2F53">
        <w:t>” kā juridiskai personai ir arī otrs pilnvarotais pārstāvis, kurš ir tiesīgs pārstāvēt sabiedrību</w:t>
      </w:r>
      <w:r>
        <w:t xml:space="preserve"> un ir atzīmēts Tiesu informatīvajā sistēmā</w:t>
      </w:r>
      <w:r w:rsidRPr="000A2F53">
        <w:t>.</w:t>
      </w:r>
      <w:r>
        <w:t xml:space="preserve"> Minētais pārstāvis sabiedrības vārdā ir parakstījis apelācijas sūdzību.</w:t>
      </w:r>
    </w:p>
    <w:p w14:paraId="31BF0F9F" w14:textId="77777777" w:rsidR="003556A9" w:rsidRDefault="003556A9" w:rsidP="003556A9">
      <w:pPr>
        <w:ind w:firstLine="709"/>
      </w:pPr>
      <w:r>
        <w:t>2024. gada 7. oktobrī tiesnese pabeidza skatīt apjomīgu lietu, kurā spriedums tika pasludināts 2024. gada 19. novembrī. Minētā sprieduma sagatavošanā tika izmantots ikgadējais atvaļinājums no 4. līdz 7. novembrim.</w:t>
      </w:r>
    </w:p>
    <w:p w14:paraId="09C70568" w14:textId="77777777" w:rsidR="003556A9" w:rsidRDefault="003556A9" w:rsidP="003556A9">
      <w:pPr>
        <w:ind w:firstLine="720"/>
        <w:rPr>
          <w:rStyle w:val="normaltextrun"/>
          <w:rFonts w:eastAsiaTheme="majorEastAsia"/>
        </w:rPr>
      </w:pPr>
    </w:p>
    <w:p w14:paraId="33271490" w14:textId="77777777" w:rsidR="003556A9" w:rsidRDefault="003556A9" w:rsidP="003556A9">
      <w:pPr>
        <w:ind w:firstLine="720"/>
        <w:rPr>
          <w:rStyle w:val="normaltextrun"/>
          <w:rFonts w:eastAsiaTheme="majorEastAsia"/>
        </w:rPr>
      </w:pPr>
      <w:r>
        <w:rPr>
          <w:rStyle w:val="normaltextrun"/>
          <w:rFonts w:eastAsiaTheme="majorEastAsia"/>
        </w:rPr>
        <w:t>[3] Tiesnešu disciplinārkolēģijas sēdē tiesnese S. </w:t>
      </w:r>
      <w:proofErr w:type="spellStart"/>
      <w:r>
        <w:rPr>
          <w:rStyle w:val="normaltextrun"/>
          <w:rFonts w:eastAsiaTheme="majorEastAsia"/>
        </w:rPr>
        <w:t>Bernharde</w:t>
      </w:r>
      <w:proofErr w:type="spellEnd"/>
      <w:r>
        <w:rPr>
          <w:rStyle w:val="normaltextrun"/>
          <w:rFonts w:eastAsiaTheme="majorEastAsia"/>
        </w:rPr>
        <w:t xml:space="preserve"> sniedza paskaidrojumus, kuru saturs atbilst rakstveidā sniegtajiem paskaidrojumiem. Tiesnese norādīja uz ilgstošām problēmām ar tiesas sastāvu. Atsakot pieņemt pretprasību ar r</w:t>
      </w:r>
      <w:r>
        <w:t>ezolūcijas lēmumu, viņa vadījās no procesuālās ekonomijas principa, kas vērsts uz efektīvāka procesa norises nodrošināšanu</w:t>
      </w:r>
      <w:r>
        <w:rPr>
          <w:rStyle w:val="normaltextrun"/>
          <w:rFonts w:eastAsiaTheme="majorEastAsia"/>
        </w:rPr>
        <w:t xml:space="preserve"> Tiesneses mērķis bija nodrošināt lietas izskatīšanu.</w:t>
      </w:r>
    </w:p>
    <w:p w14:paraId="7D4CB179" w14:textId="77777777" w:rsidR="003556A9" w:rsidRDefault="003556A9" w:rsidP="003556A9">
      <w:pPr>
        <w:ind w:firstLine="720"/>
        <w:rPr>
          <w:rStyle w:val="normaltextrun"/>
          <w:rFonts w:eastAsiaTheme="majorEastAsia"/>
        </w:rPr>
      </w:pPr>
    </w:p>
    <w:p w14:paraId="02417502" w14:textId="77777777" w:rsidR="003556A9" w:rsidRDefault="003556A9" w:rsidP="003556A9">
      <w:pPr>
        <w:ind w:firstLine="720"/>
        <w:rPr>
          <w:rFonts w:ascii="Segoe UI" w:hAnsi="Segoe UI" w:cs="Segoe UI"/>
          <w:sz w:val="18"/>
          <w:szCs w:val="18"/>
        </w:rPr>
      </w:pPr>
      <w:r>
        <w:rPr>
          <w:rStyle w:val="normaltextrun"/>
          <w:rFonts w:eastAsiaTheme="majorEastAsia"/>
        </w:rPr>
        <w:lastRenderedPageBreak/>
        <w:t xml:space="preserve">[4] Latvijas </w:t>
      </w:r>
      <w:r w:rsidRPr="00407DE6">
        <w:rPr>
          <w:rFonts w:cs="Times New Roman"/>
          <w:szCs w:val="24"/>
        </w:rPr>
        <w:t>Tiesnešu biedrības pārstāv</w:t>
      </w:r>
      <w:r>
        <w:rPr>
          <w:rFonts w:cs="Times New Roman"/>
          <w:szCs w:val="24"/>
        </w:rPr>
        <w:t xml:space="preserve">e Līga </w:t>
      </w:r>
      <w:proofErr w:type="spellStart"/>
      <w:r>
        <w:rPr>
          <w:rFonts w:cs="Times New Roman"/>
          <w:szCs w:val="24"/>
        </w:rPr>
        <w:t>Blūmiņa</w:t>
      </w:r>
      <w:proofErr w:type="spellEnd"/>
      <w:r>
        <w:rPr>
          <w:rFonts w:cs="Times New Roman"/>
          <w:szCs w:val="24"/>
        </w:rPr>
        <w:t xml:space="preserve"> pauda viedokli, ka tiesneses rīcībā nav saskatāms tīšs likuma pārkāpums, un norādīja, ka protokola lēmumi ir zināmi procesa dalībniekiem, bet skaņu ieraksts ir protokola papildinājums. </w:t>
      </w:r>
    </w:p>
    <w:p w14:paraId="24327F8E" w14:textId="77777777" w:rsidR="003556A9" w:rsidRDefault="003556A9" w:rsidP="003556A9">
      <w:pPr>
        <w:rPr>
          <w:rStyle w:val="eop"/>
          <w:rFonts w:eastAsiaTheme="majorEastAsia"/>
        </w:rPr>
      </w:pPr>
      <w:r>
        <w:rPr>
          <w:rStyle w:val="eop"/>
          <w:rFonts w:eastAsiaTheme="majorEastAsia"/>
        </w:rPr>
        <w:t> </w:t>
      </w:r>
    </w:p>
    <w:p w14:paraId="40543C69" w14:textId="77777777" w:rsidR="003556A9" w:rsidRDefault="003556A9" w:rsidP="003556A9">
      <w:pPr>
        <w:ind w:firstLine="709"/>
        <w:rPr>
          <w:rFonts w:ascii="Segoe UI" w:hAnsi="Segoe UI" w:cs="Segoe UI"/>
          <w:sz w:val="18"/>
          <w:szCs w:val="18"/>
        </w:rPr>
      </w:pPr>
      <w:r>
        <w:rPr>
          <w:rStyle w:val="eop"/>
          <w:rFonts w:eastAsiaTheme="majorEastAsia"/>
        </w:rPr>
        <w:t>[</w:t>
      </w:r>
      <w:r>
        <w:rPr>
          <w:rStyle w:val="normaltextrun"/>
          <w:rFonts w:eastAsiaTheme="majorEastAsia"/>
        </w:rPr>
        <w:t>5] Tieslietu ministra pilnvarotā pārstāve Aiga  Kalniņa pievienojās Augstākās tiesas priekšsēdētāja lēmumā par disciplinārlietas ierosināšanu norādītajam pamatojumam.</w:t>
      </w:r>
      <w:r>
        <w:rPr>
          <w:rStyle w:val="eop"/>
          <w:rFonts w:eastAsiaTheme="majorEastAsia"/>
        </w:rPr>
        <w:t xml:space="preserve"> Papildus norādīja, ka analoģiska sūdzība tika saņemta arī Tieslietu ministrijā.</w:t>
      </w:r>
    </w:p>
    <w:p w14:paraId="7A9E601B" w14:textId="77777777" w:rsidR="003556A9" w:rsidRDefault="003556A9" w:rsidP="003556A9">
      <w:pPr>
        <w:pStyle w:val="Style10"/>
        <w:spacing w:line="276" w:lineRule="auto"/>
        <w:ind w:firstLine="760"/>
      </w:pPr>
    </w:p>
    <w:p w14:paraId="28D9F574" w14:textId="77777777" w:rsidR="003556A9" w:rsidRPr="00026ED6" w:rsidRDefault="003556A9" w:rsidP="003556A9">
      <w:pPr>
        <w:widowControl w:val="0"/>
        <w:autoSpaceDE w:val="0"/>
        <w:autoSpaceDN w:val="0"/>
        <w:adjustRightInd w:val="0"/>
        <w:jc w:val="center"/>
        <w:rPr>
          <w:rFonts w:eastAsia="Times New Roman" w:cs="Times New Roman"/>
          <w:b/>
          <w:iCs/>
          <w:szCs w:val="24"/>
        </w:rPr>
      </w:pPr>
      <w:r w:rsidRPr="00026ED6">
        <w:rPr>
          <w:rFonts w:eastAsia="Times New Roman" w:cs="Times New Roman"/>
          <w:b/>
          <w:iCs/>
          <w:szCs w:val="24"/>
        </w:rPr>
        <w:t>Motīvu daļa</w:t>
      </w:r>
    </w:p>
    <w:p w14:paraId="4CAA308B" w14:textId="77777777" w:rsidR="003556A9" w:rsidRPr="00BD6B0F" w:rsidRDefault="003556A9" w:rsidP="003556A9">
      <w:pPr>
        <w:widowControl w:val="0"/>
        <w:autoSpaceDE w:val="0"/>
        <w:autoSpaceDN w:val="0"/>
        <w:adjustRightInd w:val="0"/>
        <w:rPr>
          <w:rFonts w:eastAsia="Times New Roman" w:cs="Times New Roman"/>
          <w:bCs/>
          <w:iCs/>
          <w:szCs w:val="24"/>
        </w:rPr>
      </w:pPr>
    </w:p>
    <w:p w14:paraId="38151053" w14:textId="77777777" w:rsidR="003556A9" w:rsidRDefault="003556A9" w:rsidP="003556A9">
      <w:pPr>
        <w:widowControl w:val="0"/>
        <w:autoSpaceDE w:val="0"/>
        <w:autoSpaceDN w:val="0"/>
        <w:adjustRightInd w:val="0"/>
        <w:ind w:firstLine="709"/>
        <w:rPr>
          <w:rFonts w:eastAsia="Times New Roman" w:cs="Times New Roman"/>
          <w:bCs/>
          <w:iCs/>
          <w:szCs w:val="24"/>
        </w:rPr>
      </w:pPr>
      <w:r w:rsidRPr="00BD6B0F">
        <w:rPr>
          <w:rFonts w:eastAsia="Times New Roman" w:cs="Times New Roman"/>
          <w:bCs/>
          <w:iCs/>
          <w:szCs w:val="24"/>
        </w:rPr>
        <w:tab/>
        <w:t>[</w:t>
      </w:r>
      <w:r>
        <w:rPr>
          <w:rFonts w:eastAsia="Times New Roman" w:cs="Times New Roman"/>
          <w:bCs/>
          <w:iCs/>
          <w:szCs w:val="24"/>
        </w:rPr>
        <w:t>6</w:t>
      </w:r>
      <w:r w:rsidRPr="00BD6B0F">
        <w:rPr>
          <w:rFonts w:eastAsia="Times New Roman" w:cs="Times New Roman"/>
          <w:bCs/>
          <w:iCs/>
          <w:szCs w:val="24"/>
        </w:rPr>
        <w:t xml:space="preserve">] Pārbaudījusi Augstākās tiesas priekšsēdētāja 2025. gada </w:t>
      </w:r>
      <w:r>
        <w:rPr>
          <w:rFonts w:eastAsia="Times New Roman" w:cs="Times New Roman"/>
          <w:bCs/>
          <w:iCs/>
          <w:szCs w:val="24"/>
        </w:rPr>
        <w:t xml:space="preserve">9. septembra </w:t>
      </w:r>
      <w:r w:rsidRPr="00BD6B0F">
        <w:rPr>
          <w:rFonts w:eastAsia="Times New Roman" w:cs="Times New Roman"/>
          <w:bCs/>
          <w:iCs/>
          <w:szCs w:val="24"/>
        </w:rPr>
        <w:t>lēmum</w:t>
      </w:r>
      <w:r>
        <w:rPr>
          <w:rFonts w:eastAsia="Times New Roman" w:cs="Times New Roman"/>
          <w:bCs/>
          <w:iCs/>
          <w:szCs w:val="24"/>
        </w:rPr>
        <w:t xml:space="preserve">ā </w:t>
      </w:r>
      <w:r w:rsidRPr="00BD6B0F">
        <w:rPr>
          <w:rFonts w:eastAsia="Times New Roman" w:cs="Times New Roman"/>
          <w:bCs/>
          <w:iCs/>
          <w:szCs w:val="24"/>
        </w:rPr>
        <w:t>norādītos apstākļus un uzklausījusi tiesneses, tieslietu ministres pārstāv</w:t>
      </w:r>
      <w:r>
        <w:rPr>
          <w:rFonts w:eastAsia="Times New Roman" w:cs="Times New Roman"/>
          <w:bCs/>
          <w:iCs/>
          <w:szCs w:val="24"/>
        </w:rPr>
        <w:t>es</w:t>
      </w:r>
      <w:r w:rsidRPr="00BD6B0F">
        <w:rPr>
          <w:rFonts w:eastAsia="Times New Roman" w:cs="Times New Roman"/>
          <w:bCs/>
          <w:iCs/>
          <w:szCs w:val="24"/>
        </w:rPr>
        <w:t xml:space="preserve"> un Tiesnešu biedrības pārstāv</w:t>
      </w:r>
      <w:r>
        <w:rPr>
          <w:rFonts w:eastAsia="Times New Roman" w:cs="Times New Roman"/>
          <w:bCs/>
          <w:iCs/>
          <w:szCs w:val="24"/>
        </w:rPr>
        <w:t>es</w:t>
      </w:r>
      <w:r w:rsidRPr="00BD6B0F">
        <w:rPr>
          <w:rFonts w:eastAsia="Times New Roman" w:cs="Times New Roman"/>
          <w:bCs/>
          <w:iCs/>
          <w:szCs w:val="24"/>
        </w:rPr>
        <w:t xml:space="preserve"> paskaidrojumus, Tiesnešu disciplinārkolēģija atzīst, ka disciplinārlieta </w:t>
      </w:r>
      <w:r>
        <w:rPr>
          <w:rFonts w:eastAsia="Times New Roman" w:cs="Times New Roman"/>
          <w:bCs/>
          <w:iCs/>
          <w:szCs w:val="24"/>
        </w:rPr>
        <w:t xml:space="preserve">daļēji </w:t>
      </w:r>
      <w:r w:rsidRPr="00BD6B0F">
        <w:rPr>
          <w:rFonts w:eastAsia="Times New Roman" w:cs="Times New Roman"/>
          <w:bCs/>
          <w:iCs/>
          <w:szCs w:val="24"/>
        </w:rPr>
        <w:t>ir ierosināta pamatoti.</w:t>
      </w:r>
    </w:p>
    <w:p w14:paraId="1B20131A" w14:textId="77777777" w:rsidR="003556A9" w:rsidRDefault="003556A9" w:rsidP="003556A9">
      <w:pPr>
        <w:ind w:firstLine="709"/>
      </w:pPr>
    </w:p>
    <w:p w14:paraId="388982D8" w14:textId="27136F86" w:rsidR="003556A9" w:rsidRDefault="003556A9" w:rsidP="003556A9">
      <w:pPr>
        <w:ind w:firstLine="709"/>
      </w:pPr>
      <w:r>
        <w:t>[7] Tiesneses S. </w:t>
      </w:r>
      <w:proofErr w:type="spellStart"/>
      <w:r>
        <w:t>Bernhardes</w:t>
      </w:r>
      <w:proofErr w:type="spellEnd"/>
      <w:r>
        <w:t xml:space="preserve"> tiesvedībā atradās civillieta Nr.</w:t>
      </w:r>
      <w:bookmarkStart w:id="6" w:name="_Hlk209747475"/>
      <w:r>
        <w:t> </w:t>
      </w:r>
      <w:bookmarkEnd w:id="6"/>
      <w:r w:rsidR="00163A2A">
        <w:t>[..]</w:t>
      </w:r>
      <w:r>
        <w:t xml:space="preserve"> par zemes īpašuma valdījuma atjaunošanu, ievešanu valdījumā, zemes nogabala platības, robežas un lietošanas kārtības noteikšanu.</w:t>
      </w:r>
    </w:p>
    <w:p w14:paraId="0E6D6D5E" w14:textId="3D43391D" w:rsidR="003556A9" w:rsidRDefault="003556A9" w:rsidP="003556A9">
      <w:pPr>
        <w:ind w:firstLine="709"/>
        <w:rPr>
          <w:rFonts w:eastAsia="Times New Roman" w:cs="Times New Roman"/>
          <w:bCs/>
          <w:iCs/>
          <w:szCs w:val="24"/>
        </w:rPr>
      </w:pPr>
      <w:r>
        <w:t>2024. gada 4. septembrī un 2024. gada 11. oktobrī atbildētāja SIA „</w:t>
      </w:r>
      <w:r w:rsidR="00163A2A">
        <w:t>[..]</w:t>
      </w:r>
      <w:r>
        <w:t>” lietā iesniedza pretprasību par lietošanā esošās zemes platībām un robežām.</w:t>
      </w:r>
    </w:p>
    <w:p w14:paraId="17095AE9" w14:textId="05FE2199" w:rsidR="003556A9" w:rsidRDefault="003556A9" w:rsidP="003556A9">
      <w:pPr>
        <w:ind w:firstLine="709"/>
      </w:pPr>
      <w:r>
        <w:t xml:space="preserve">2024. gada 10. septembrī tiesnese atteica pieņemt atbildētājas </w:t>
      </w:r>
      <w:r w:rsidRPr="00BB438B">
        <w:rPr>
          <w:bCs/>
          <w:iCs/>
        </w:rPr>
        <w:t>SIA</w:t>
      </w:r>
      <w:r>
        <w:t xml:space="preserve"> </w:t>
      </w:r>
      <w:r>
        <w:rPr>
          <w:bCs/>
          <w:iCs/>
        </w:rPr>
        <w:t>„</w:t>
      </w:r>
      <w:r w:rsidR="00163A2A">
        <w:rPr>
          <w:bCs/>
          <w:iCs/>
        </w:rPr>
        <w:t>[..]</w:t>
      </w:r>
      <w:r w:rsidRPr="00BB438B">
        <w:rPr>
          <w:bCs/>
          <w:iCs/>
        </w:rPr>
        <w:t xml:space="preserve">” </w:t>
      </w:r>
      <w:r>
        <w:t xml:space="preserve">pretprasības pieteikumu ar rezolūciju: </w:t>
      </w:r>
      <w:r w:rsidRPr="009A11DE">
        <w:rPr>
          <w:i/>
          <w:iCs/>
        </w:rPr>
        <w:t>Nepieņemt pretprasību, jo neatbilst CPL 136.</w:t>
      </w:r>
      <w:r>
        <w:rPr>
          <w:i/>
          <w:iCs/>
        </w:rPr>
        <w:t> </w:t>
      </w:r>
      <w:r w:rsidRPr="009A11DE">
        <w:rPr>
          <w:i/>
          <w:iCs/>
        </w:rPr>
        <w:t>p. 1.,2. un 3.</w:t>
      </w:r>
      <w:r>
        <w:rPr>
          <w:i/>
          <w:iCs/>
        </w:rPr>
        <w:t> </w:t>
      </w:r>
      <w:proofErr w:type="spellStart"/>
      <w:r w:rsidRPr="009A11DE">
        <w:rPr>
          <w:i/>
          <w:iCs/>
        </w:rPr>
        <w:t>punkt</w:t>
      </w:r>
      <w:proofErr w:type="spellEnd"/>
      <w:r w:rsidRPr="009A11DE">
        <w:rPr>
          <w:i/>
          <w:iCs/>
        </w:rPr>
        <w:t>. nosacījumiem</w:t>
      </w:r>
      <w:r>
        <w:t>.</w:t>
      </w:r>
    </w:p>
    <w:p w14:paraId="5CF1531E" w14:textId="6BA370D8" w:rsidR="003556A9" w:rsidRDefault="003556A9" w:rsidP="003556A9">
      <w:pPr>
        <w:ind w:firstLine="709"/>
      </w:pPr>
      <w:r>
        <w:t xml:space="preserve">Savukārt ar 2024. gada 14. oktobra rezolūcijas lēmumu tiesnese atkārtoti atteica pieņemt atbildētājas </w:t>
      </w:r>
      <w:r w:rsidRPr="00BB438B">
        <w:rPr>
          <w:bCs/>
          <w:iCs/>
        </w:rPr>
        <w:t>SIA</w:t>
      </w:r>
      <w:r>
        <w:t xml:space="preserve"> </w:t>
      </w:r>
      <w:r>
        <w:rPr>
          <w:bCs/>
          <w:iCs/>
        </w:rPr>
        <w:t>„</w:t>
      </w:r>
      <w:r w:rsidR="00163A2A">
        <w:rPr>
          <w:bCs/>
          <w:iCs/>
        </w:rPr>
        <w:t>[..]</w:t>
      </w:r>
      <w:r w:rsidRPr="00BB438B">
        <w:rPr>
          <w:bCs/>
          <w:iCs/>
        </w:rPr>
        <w:t xml:space="preserve">” </w:t>
      </w:r>
      <w:r>
        <w:t xml:space="preserve">pretprasības pieteikumu: </w:t>
      </w:r>
      <w:r w:rsidRPr="009A11DE">
        <w:rPr>
          <w:i/>
          <w:iCs/>
        </w:rPr>
        <w:t>Neatbilst CPL 136.</w:t>
      </w:r>
      <w:r>
        <w:rPr>
          <w:i/>
          <w:iCs/>
        </w:rPr>
        <w:t> </w:t>
      </w:r>
      <w:r w:rsidRPr="009A11DE">
        <w:rPr>
          <w:i/>
          <w:iCs/>
        </w:rPr>
        <w:t>p.</w:t>
      </w:r>
      <w:r>
        <w:rPr>
          <w:i/>
          <w:iCs/>
        </w:rPr>
        <w:t xml:space="preserve"> prasībām, identiski prasījumi jau tika atgriezti 10.09.2024. Atgriezt, jo netiek pieņemts</w:t>
      </w:r>
      <w:r>
        <w:t>.</w:t>
      </w:r>
    </w:p>
    <w:p w14:paraId="310E81C3" w14:textId="77777777" w:rsidR="003556A9" w:rsidRDefault="003556A9" w:rsidP="003556A9">
      <w:pPr>
        <w:ind w:firstLine="709"/>
      </w:pPr>
      <w:r>
        <w:t xml:space="preserve">[7.1] Saskaņā ar Civilprocesa likuma 229. panta ceturto daļu par tiesneša procesuālo darbību ārpus tiesas sēdes pieņemams lēmums, kas noformējams atsevišķa procesuāla dokumenta veidā. </w:t>
      </w:r>
    </w:p>
    <w:p w14:paraId="1494E3D8" w14:textId="77777777" w:rsidR="003556A9" w:rsidRDefault="003556A9" w:rsidP="003556A9">
      <w:pPr>
        <w:ind w:firstLine="709"/>
      </w:pPr>
      <w:r>
        <w:t xml:space="preserve">Civilprocesa likuma </w:t>
      </w:r>
      <w:r w:rsidRPr="001D3BFE">
        <w:t>32.</w:t>
      </w:r>
      <w:r w:rsidRPr="001D3BFE">
        <w:rPr>
          <w:vertAlign w:val="superscript"/>
        </w:rPr>
        <w:t>1</w:t>
      </w:r>
      <w:r>
        <w:t> </w:t>
      </w:r>
      <w:r w:rsidRPr="001D3BFE">
        <w:t>panta ceturtajā daļā, 43.</w:t>
      </w:r>
      <w:r w:rsidRPr="001D3BFE">
        <w:rPr>
          <w:vertAlign w:val="superscript"/>
        </w:rPr>
        <w:t>3</w:t>
      </w:r>
      <w:r>
        <w:t> </w:t>
      </w:r>
      <w:r w:rsidRPr="001D3BFE">
        <w:t>pantā, 142.</w:t>
      </w:r>
      <w:r w:rsidRPr="001D3BFE">
        <w:rPr>
          <w:vertAlign w:val="superscript"/>
        </w:rPr>
        <w:t>1</w:t>
      </w:r>
      <w:r>
        <w:t> </w:t>
      </w:r>
      <w:r w:rsidRPr="001D3BFE">
        <w:t>panta otrajā daļā, 238.</w:t>
      </w:r>
      <w:r w:rsidRPr="001D3BFE">
        <w:rPr>
          <w:vertAlign w:val="superscript"/>
        </w:rPr>
        <w:t>1</w:t>
      </w:r>
      <w:r>
        <w:t> </w:t>
      </w:r>
      <w:r w:rsidRPr="001D3BFE">
        <w:t>panta desmitajā daļā, 244.</w:t>
      </w:r>
      <w:r w:rsidRPr="001D3BFE">
        <w:rPr>
          <w:vertAlign w:val="superscript"/>
        </w:rPr>
        <w:t>10</w:t>
      </w:r>
      <w:r>
        <w:t> </w:t>
      </w:r>
      <w:r w:rsidRPr="001D3BFE">
        <w:t>panta desmitajā daļā, 440.</w:t>
      </w:r>
      <w:r w:rsidRPr="001D3BFE">
        <w:rPr>
          <w:vertAlign w:val="superscript"/>
        </w:rPr>
        <w:t>8</w:t>
      </w:r>
      <w:r>
        <w:t> </w:t>
      </w:r>
      <w:r w:rsidRPr="001D3BFE">
        <w:t>panta septītajā un astotajā daļā, 464.</w:t>
      </w:r>
      <w:r>
        <w:t> </w:t>
      </w:r>
      <w:r w:rsidRPr="001D3BFE">
        <w:t xml:space="preserve">panta ceturtajā </w:t>
      </w:r>
      <w:proofErr w:type="spellStart"/>
      <w:r w:rsidRPr="00E00367">
        <w:rPr>
          <w:i/>
          <w:iCs/>
        </w:rPr>
        <w:t>prim</w:t>
      </w:r>
      <w:proofErr w:type="spellEnd"/>
      <w:r w:rsidRPr="001D3BFE">
        <w:rPr>
          <w:i/>
          <w:iCs/>
        </w:rPr>
        <w:t xml:space="preserve"> </w:t>
      </w:r>
      <w:r w:rsidRPr="001D3BFE">
        <w:t>daļā, 613.</w:t>
      </w:r>
      <w:r>
        <w:t> </w:t>
      </w:r>
      <w:r w:rsidRPr="001D3BFE">
        <w:t>panta devītajā daļā, 644.</w:t>
      </w:r>
      <w:r w:rsidRPr="001D3BFE">
        <w:rPr>
          <w:vertAlign w:val="superscript"/>
        </w:rPr>
        <w:t>18A</w:t>
      </w:r>
      <w:r>
        <w:t> </w:t>
      </w:r>
      <w:r w:rsidRPr="001D3BFE">
        <w:t>panta otrajā un ceturtajā daļā</w:t>
      </w:r>
      <w:r>
        <w:t xml:space="preserve"> noteikti gadījumi, kad lēmumi tiek pieņemti rezolūciju veidā.</w:t>
      </w:r>
    </w:p>
    <w:p w14:paraId="2EF58C51" w14:textId="77777777" w:rsidR="003556A9" w:rsidRDefault="003556A9" w:rsidP="003556A9">
      <w:pPr>
        <w:ind w:firstLine="709"/>
      </w:pPr>
      <w:r>
        <w:t>Tiesnešu disciplinārkolēģija pilnībā pievienojas lēmumā par disciplinārlietas ierosināšanu secinātajam, ka C</w:t>
      </w:r>
      <w:r w:rsidRPr="001D3BFE">
        <w:t>ivilprocesa likum</w:t>
      </w:r>
      <w:r>
        <w:t>s neparedz</w:t>
      </w:r>
      <w:r w:rsidRPr="001D3BFE">
        <w:t xml:space="preserve"> lēmum</w:t>
      </w:r>
      <w:r>
        <w:t>a, ar kuru</w:t>
      </w:r>
      <w:r w:rsidRPr="001D3BFE">
        <w:t xml:space="preserve"> atteikt</w:t>
      </w:r>
      <w:r>
        <w:t>s</w:t>
      </w:r>
      <w:r w:rsidRPr="001D3BFE">
        <w:t xml:space="preserve"> pieņemt pretprasības pieteikumu</w:t>
      </w:r>
      <w:r>
        <w:t xml:space="preserve">, noformēšanu </w:t>
      </w:r>
      <w:r w:rsidRPr="001D3BFE">
        <w:t>rezolūcijas veidā.</w:t>
      </w:r>
      <w:r>
        <w:t xml:space="preserve"> </w:t>
      </w:r>
    </w:p>
    <w:p w14:paraId="1D14D7C5" w14:textId="77777777" w:rsidR="003556A9" w:rsidRDefault="003556A9" w:rsidP="003556A9">
      <w:pPr>
        <w:ind w:firstLine="709"/>
      </w:pPr>
      <w:r>
        <w:t xml:space="preserve">[7.2] Papildus norādāms, ka pretprasība (lat. </w:t>
      </w:r>
      <w:proofErr w:type="spellStart"/>
      <w:r>
        <w:rPr>
          <w:rStyle w:val="Emphasis"/>
        </w:rPr>
        <w:t>reconventio</w:t>
      </w:r>
      <w:proofErr w:type="spellEnd"/>
      <w:r>
        <w:t xml:space="preserve">) ir prasības veids, ko iesniedz atbildētājs pret prasītāju tajā pašā tiesvedības procesā. Tas ir juridisks instruments, kas ļauj atbildētājam ne tikai aizstāvēt savas intereses, bet arī paust savu prasību pret sākotnējo prasītāju, neradot jaunu procesu. Ar pretprasību atbildētājs var aizstāvēt savas tiesības un intereses, negaidot jaunu tiesvedību. Līdz ar to, atsakot pretprasības pieņemšanu, ir būtiski noformēt lēmumu atsevišķa procesuāla dokumenta veidā, norādot motivāciju, kuras dēļ pretprasība lietā netiek pieņemta.  </w:t>
      </w:r>
    </w:p>
    <w:p w14:paraId="43A659F6" w14:textId="77777777" w:rsidR="003556A9" w:rsidRDefault="003556A9" w:rsidP="003556A9">
      <w:pPr>
        <w:ind w:firstLine="709"/>
      </w:pPr>
      <w:r>
        <w:lastRenderedPageBreak/>
        <w:t>[7.3] Tiesnešu discplinārkolēģija atzīst, ka, atsakot pieņemt pretprasību ar lēmumiem rezolūcijas veidā, tiesnese S. </w:t>
      </w:r>
      <w:proofErr w:type="spellStart"/>
      <w:r>
        <w:t>Bernharde</w:t>
      </w:r>
      <w:proofErr w:type="spellEnd"/>
      <w:r>
        <w:t xml:space="preserve"> ir pieļāvusi tīšu likuma pārkāpumu lietas izskatīšanā. </w:t>
      </w:r>
    </w:p>
    <w:p w14:paraId="5FD61173" w14:textId="77777777" w:rsidR="003556A9" w:rsidRDefault="003556A9" w:rsidP="003556A9">
      <w:pPr>
        <w:ind w:firstLine="720"/>
      </w:pPr>
    </w:p>
    <w:p w14:paraId="326855E0" w14:textId="77777777" w:rsidR="003556A9" w:rsidRPr="00154BCA" w:rsidRDefault="003556A9" w:rsidP="003556A9">
      <w:pPr>
        <w:ind w:firstLine="720"/>
      </w:pPr>
      <w:r>
        <w:t xml:space="preserve">[8] Saskaņā ar </w:t>
      </w:r>
      <w:r w:rsidRPr="00722782">
        <w:t>likuma „Par Tiesu varu” 28.</w:t>
      </w:r>
      <w:r w:rsidRPr="00357B40">
        <w:rPr>
          <w:vertAlign w:val="superscript"/>
        </w:rPr>
        <w:t>6</w:t>
      </w:r>
      <w:r>
        <w:t> </w:t>
      </w:r>
      <w:r w:rsidRPr="00722782">
        <w:t xml:space="preserve">panta </w:t>
      </w:r>
      <w:r>
        <w:t>5.</w:t>
      </w:r>
      <w:r w:rsidRPr="005E73C9">
        <w:rPr>
          <w:vertAlign w:val="superscript"/>
        </w:rPr>
        <w:t>1</w:t>
      </w:r>
      <w:r>
        <w:rPr>
          <w:vertAlign w:val="superscript"/>
        </w:rPr>
        <w:t> </w:t>
      </w:r>
      <w:r w:rsidRPr="00722782">
        <w:t>daļ</w:t>
      </w:r>
      <w:r>
        <w:t xml:space="preserve">u </w:t>
      </w:r>
      <w:r w:rsidRPr="00154BCA">
        <w:t>Tiesu informatīvajā sistēmā izveidotajā tiesas sēžu kalendārā atzīmē tiesas sēžu datumu un laiku, kā arī informāciju par zvērināta advokāta un prokurora aizņemtību. Tiesas sēžu kalendārā veiktā atzīme par tiesas sēdes datuma un laika noteikšanu ir saistoša, plānojot lietu izskatīšanu tiesas sēdē ar tā zvērināta advokāta vai prokurora piedalīšanos, kura piedalīšanās citā tiesas sēdē jau atzīmēta tiesas sēžu kalendārā.</w:t>
      </w:r>
    </w:p>
    <w:p w14:paraId="67B337D5" w14:textId="6468C85E" w:rsidR="003556A9" w:rsidRDefault="003556A9" w:rsidP="003556A9">
      <w:pPr>
        <w:ind w:firstLine="720"/>
      </w:pPr>
      <w:r>
        <w:t xml:space="preserve">[8.1] Izskatot civillietu </w:t>
      </w:r>
      <w:r w:rsidRPr="00EF7C35">
        <w:rPr>
          <w:szCs w:val="24"/>
        </w:rPr>
        <w:t>Nr.</w:t>
      </w:r>
      <w:r>
        <w:rPr>
          <w:szCs w:val="24"/>
        </w:rPr>
        <w:t> </w:t>
      </w:r>
      <w:r w:rsidR="00163A2A">
        <w:rPr>
          <w:szCs w:val="24"/>
        </w:rPr>
        <w:t>[..]</w:t>
      </w:r>
      <w:r>
        <w:rPr>
          <w:szCs w:val="24"/>
        </w:rPr>
        <w:t xml:space="preserve">, tiesnese </w:t>
      </w:r>
      <w:r w:rsidRPr="00F10AA2">
        <w:t>2024.</w:t>
      </w:r>
      <w:r>
        <w:t> </w:t>
      </w:r>
      <w:r w:rsidRPr="00F10AA2">
        <w:t>gada 15.</w:t>
      </w:r>
      <w:r>
        <w:t> </w:t>
      </w:r>
      <w:r w:rsidRPr="00F10AA2">
        <w:t>oktobra tiesas sēdē piemēro</w:t>
      </w:r>
      <w:r>
        <w:t xml:space="preserve">ja naudas </w:t>
      </w:r>
      <w:r w:rsidRPr="00F10AA2">
        <w:t>sod</w:t>
      </w:r>
      <w:r>
        <w:t>u</w:t>
      </w:r>
      <w:r w:rsidRPr="00E03066">
        <w:t xml:space="preserve"> </w:t>
      </w:r>
      <w:r w:rsidRPr="00F10AA2">
        <w:t>SIA</w:t>
      </w:r>
      <w:r>
        <w:t xml:space="preserve"> „</w:t>
      </w:r>
      <w:r w:rsidR="00163A2A">
        <w:t>[..]</w:t>
      </w:r>
      <w:r w:rsidRPr="00F10AA2">
        <w:t>”</w:t>
      </w:r>
      <w:r>
        <w:t xml:space="preserve">. Lūguma pa atbrīvošanu no naudas soda izskatīšanu tiesnese noteica mutvārdu procesā 2024. gada 21. novembrī. </w:t>
      </w:r>
      <w:proofErr w:type="gramStart"/>
      <w:r>
        <w:rPr>
          <w:szCs w:val="24"/>
        </w:rPr>
        <w:t>P</w:t>
      </w:r>
      <w:r w:rsidRPr="00EF7C35">
        <w:rPr>
          <w:szCs w:val="24"/>
        </w:rPr>
        <w:t>irms tiesas</w:t>
      </w:r>
      <w:proofErr w:type="gramEnd"/>
      <w:r w:rsidRPr="00EF7C35">
        <w:rPr>
          <w:szCs w:val="24"/>
        </w:rPr>
        <w:t xml:space="preserve"> sēdes </w:t>
      </w:r>
      <w:r>
        <w:rPr>
          <w:szCs w:val="24"/>
        </w:rPr>
        <w:t>nozīmēšanas</w:t>
      </w:r>
      <w:r w:rsidRPr="00EF7C35">
        <w:rPr>
          <w:szCs w:val="24"/>
        </w:rPr>
        <w:t xml:space="preserve"> </w:t>
      </w:r>
      <w:r w:rsidRPr="00F10AA2">
        <w:t>SIA</w:t>
      </w:r>
      <w:r>
        <w:t xml:space="preserve"> „</w:t>
      </w:r>
      <w:r w:rsidR="00163A2A">
        <w:t>[..]</w:t>
      </w:r>
      <w:r w:rsidRPr="00F10AA2">
        <w:t xml:space="preserve">” </w:t>
      </w:r>
      <w:r>
        <w:rPr>
          <w:szCs w:val="24"/>
        </w:rPr>
        <w:t xml:space="preserve">pārstāvim zvērinātam advokātam </w:t>
      </w:r>
      <w:r w:rsidRPr="00154BCA">
        <w:t>Tiesu informatīvā</w:t>
      </w:r>
      <w:r>
        <w:t>s</w:t>
      </w:r>
      <w:r w:rsidRPr="00154BCA">
        <w:t xml:space="preserve"> sistēm</w:t>
      </w:r>
      <w:r>
        <w:t>as</w:t>
      </w:r>
      <w:r>
        <w:rPr>
          <w:szCs w:val="24"/>
        </w:rPr>
        <w:t xml:space="preserve"> noslodzes kalendārā </w:t>
      </w:r>
      <w:r w:rsidRPr="00EF7C35">
        <w:rPr>
          <w:szCs w:val="24"/>
        </w:rPr>
        <w:t>bija ierakstītas divas tiesas sēdes</w:t>
      </w:r>
      <w:r>
        <w:rPr>
          <w:szCs w:val="24"/>
        </w:rPr>
        <w:t xml:space="preserve"> </w:t>
      </w:r>
      <w:r w:rsidRPr="00EF7C35">
        <w:rPr>
          <w:szCs w:val="24"/>
        </w:rPr>
        <w:t>civillietā</w:t>
      </w:r>
      <w:r>
        <w:rPr>
          <w:szCs w:val="24"/>
        </w:rPr>
        <w:t>s</w:t>
      </w:r>
      <w:r w:rsidRPr="00EF7C35">
        <w:rPr>
          <w:szCs w:val="24"/>
        </w:rPr>
        <w:t xml:space="preserve"> Nr.</w:t>
      </w:r>
      <w:r>
        <w:rPr>
          <w:szCs w:val="24"/>
        </w:rPr>
        <w:t> </w:t>
      </w:r>
      <w:r w:rsidR="00163A2A">
        <w:rPr>
          <w:szCs w:val="24"/>
        </w:rPr>
        <w:t>[..]</w:t>
      </w:r>
      <w:r w:rsidRPr="00EF7C35">
        <w:rPr>
          <w:szCs w:val="24"/>
        </w:rPr>
        <w:t xml:space="preserve"> </w:t>
      </w:r>
      <w:r>
        <w:rPr>
          <w:szCs w:val="24"/>
        </w:rPr>
        <w:t xml:space="preserve">un </w:t>
      </w:r>
      <w:r w:rsidRPr="00EF7C35">
        <w:rPr>
          <w:szCs w:val="24"/>
        </w:rPr>
        <w:t>Nr.</w:t>
      </w:r>
      <w:r>
        <w:rPr>
          <w:szCs w:val="24"/>
        </w:rPr>
        <w:t> </w:t>
      </w:r>
      <w:r w:rsidR="00163A2A">
        <w:rPr>
          <w:szCs w:val="24"/>
        </w:rPr>
        <w:t>[..]</w:t>
      </w:r>
      <w:r>
        <w:rPr>
          <w:szCs w:val="24"/>
        </w:rPr>
        <w:t>. Turklāt par aizņemtību citos tiesas procesos pārstāvis tiesu informēja 2024. gada 8. un 11. novembra iesniegumos.</w:t>
      </w:r>
    </w:p>
    <w:p w14:paraId="6171CED4" w14:textId="10D13BF6" w:rsidR="003556A9" w:rsidRDefault="003556A9" w:rsidP="003556A9">
      <w:pPr>
        <w:ind w:firstLine="720"/>
      </w:pPr>
      <w:r>
        <w:t>[8.2]</w:t>
      </w:r>
      <w:bookmarkStart w:id="7" w:name="_Hlk209744294"/>
      <w:r>
        <w:t xml:space="preserve"> Tiesnešu discplinārkolēģija atzīst</w:t>
      </w:r>
      <w:bookmarkEnd w:id="7"/>
      <w:r>
        <w:t xml:space="preserve">, ka, nosakot 2024. gada 21. novembra tiesas sēdi, tiesnese pretēji </w:t>
      </w:r>
      <w:r w:rsidRPr="00722782">
        <w:t>likuma „Par Tiesu varu” 28.</w:t>
      </w:r>
      <w:r w:rsidRPr="00357B40">
        <w:rPr>
          <w:vertAlign w:val="superscript"/>
        </w:rPr>
        <w:t>6</w:t>
      </w:r>
      <w:r>
        <w:t> </w:t>
      </w:r>
      <w:r w:rsidRPr="00722782">
        <w:t xml:space="preserve">panta </w:t>
      </w:r>
      <w:r>
        <w:t>5.</w:t>
      </w:r>
      <w:r w:rsidRPr="005E73C9">
        <w:rPr>
          <w:vertAlign w:val="superscript"/>
        </w:rPr>
        <w:t>1</w:t>
      </w:r>
      <w:r>
        <w:t> </w:t>
      </w:r>
      <w:r w:rsidRPr="00722782">
        <w:t>daļ</w:t>
      </w:r>
      <w:r>
        <w:t>ai neņēma vērā SIA „</w:t>
      </w:r>
      <w:r w:rsidR="00163A2A">
        <w:t>[..]</w:t>
      </w:r>
      <w:r>
        <w:t xml:space="preserve">” pārstāvja zvērināta advokāta noslodzes kalendāru un minētais veido </w:t>
      </w:r>
      <w:proofErr w:type="spellStart"/>
      <w:r>
        <w:t>disciplinārpārkāpuma</w:t>
      </w:r>
      <w:proofErr w:type="spellEnd"/>
      <w:r>
        <w:t xml:space="preserve"> sastāvu. </w:t>
      </w:r>
    </w:p>
    <w:p w14:paraId="66187CCC" w14:textId="77777777" w:rsidR="003556A9" w:rsidRDefault="003556A9" w:rsidP="003556A9">
      <w:pPr>
        <w:ind w:firstLine="720"/>
      </w:pPr>
    </w:p>
    <w:p w14:paraId="54787985" w14:textId="6D8A31F6" w:rsidR="003556A9" w:rsidRDefault="003556A9" w:rsidP="003556A9">
      <w:pPr>
        <w:ind w:firstLine="720"/>
        <w:rPr>
          <w:rStyle w:val="CharStyle11"/>
          <w:color w:val="auto"/>
        </w:rPr>
      </w:pPr>
      <w:r>
        <w:t xml:space="preserve">[9] </w:t>
      </w:r>
      <w:r w:rsidRPr="00141CDE">
        <w:t xml:space="preserve">No </w:t>
      </w:r>
      <w:r w:rsidRPr="00141CDE">
        <w:rPr>
          <w:rStyle w:val="CharStyle11"/>
          <w:color w:val="auto"/>
        </w:rPr>
        <w:t xml:space="preserve">Augstākās tiesas priekšsēdētāja lēmuma izriet, ka </w:t>
      </w:r>
      <w:r>
        <w:rPr>
          <w:rStyle w:val="CharStyle11"/>
          <w:color w:val="auto"/>
        </w:rPr>
        <w:t xml:space="preserve">tiesas 2024. gada 15. oktobra un 21. novembra tiesas sēdēs pieņemtie protokola lēmumi, piemērojot </w:t>
      </w:r>
      <w:r w:rsidRPr="00F10AA2">
        <w:t>SIA</w:t>
      </w:r>
      <w:r>
        <w:t>  „</w:t>
      </w:r>
      <w:r w:rsidR="00163A2A">
        <w:t>[..]</w:t>
      </w:r>
      <w:r w:rsidRPr="00F10AA2">
        <w:t xml:space="preserve">” </w:t>
      </w:r>
      <w:r>
        <w:t>naudas sodu, nepieņemot tiesai pieteikto noraidījumu un noraidot atbildētājas pārstāvja lūgumu par atbrīvošanu no naudas soda,</w:t>
      </w:r>
      <w:r>
        <w:rPr>
          <w:rStyle w:val="CharStyle11"/>
          <w:color w:val="auto"/>
        </w:rPr>
        <w:t xml:space="preserve"> neatbilst </w:t>
      </w:r>
      <w:r w:rsidRPr="00141CDE">
        <w:rPr>
          <w:rStyle w:val="CharStyle11"/>
          <w:color w:val="auto"/>
        </w:rPr>
        <w:t>Civilprocesa likuma 230.</w:t>
      </w:r>
      <w:r>
        <w:rPr>
          <w:rStyle w:val="CharStyle11"/>
          <w:color w:val="auto"/>
        </w:rPr>
        <w:t> </w:t>
      </w:r>
      <w:r w:rsidRPr="00141CDE">
        <w:rPr>
          <w:rStyle w:val="CharStyle11"/>
          <w:color w:val="auto"/>
        </w:rPr>
        <w:t xml:space="preserve">panta </w:t>
      </w:r>
      <w:r>
        <w:rPr>
          <w:rStyle w:val="CharStyle11"/>
          <w:color w:val="auto"/>
        </w:rPr>
        <w:t>prasībām.</w:t>
      </w:r>
    </w:p>
    <w:p w14:paraId="2CDAD43C" w14:textId="77777777" w:rsidR="003556A9" w:rsidRDefault="003556A9" w:rsidP="003556A9">
      <w:pPr>
        <w:ind w:firstLine="720"/>
        <w:rPr>
          <w:rStyle w:val="CharStyle11"/>
          <w:color w:val="auto"/>
        </w:rPr>
      </w:pPr>
      <w:r>
        <w:rPr>
          <w:rStyle w:val="CharStyle11"/>
          <w:color w:val="auto"/>
        </w:rPr>
        <w:t>[9.1] No 2024. gada 15. oktobra un 21. novembra tiesas sēžu protokoliem redzams, ka tajos ir norādīta tiesas sēdē pieņemto lēmumu rezolutīvā daļa. Savukārt, noklausoties 2024. gada 15. oktobra un 21. novembra tiesas sēžu skaņu ierakstus, Tiesnešu disciplinārkolēģija konstatē, ka tiesas sēdē pieņemtie protokola lēmumi ir motivēti un lietas dalībniekiem bija saprotami.</w:t>
      </w:r>
    </w:p>
    <w:p w14:paraId="620CD15E" w14:textId="77777777" w:rsidR="003556A9" w:rsidRDefault="003556A9" w:rsidP="003556A9">
      <w:pPr>
        <w:ind w:firstLine="720"/>
        <w:rPr>
          <w:rStyle w:val="CharStyle11"/>
          <w:color w:val="auto"/>
        </w:rPr>
      </w:pPr>
      <w:r>
        <w:rPr>
          <w:rStyle w:val="CharStyle11"/>
          <w:color w:val="auto"/>
        </w:rPr>
        <w:t xml:space="preserve">Vienlaikus jānorāda, ka protokola lēmuma, ar kuru netika pieņemts tiesai pieteiktais noraidījums, motivācija izteikta atbilstoši pārstāvja pieteiktā noraidījuma vispārīgajam raksturam. No 2024. gada 15. oktobra tiesas sēdes skaņu ieraksta dzirdams, ka tiesai pieteiktais noraidījums izskanēja kā īsa replika uz tiesneša norādi par atteikšanos pieņemt pretprasību. </w:t>
      </w:r>
    </w:p>
    <w:p w14:paraId="20C8FF9B" w14:textId="77777777" w:rsidR="003556A9" w:rsidRDefault="003556A9" w:rsidP="003556A9">
      <w:pPr>
        <w:ind w:firstLine="720"/>
      </w:pPr>
      <w:r>
        <w:t xml:space="preserve">Tādējādi Tiesnešu disciplinārkolēģijas ieskatā nav pamata atzīt, ka </w:t>
      </w:r>
      <w:r>
        <w:rPr>
          <w:rStyle w:val="CharStyle11"/>
          <w:color w:val="auto"/>
        </w:rPr>
        <w:t>2024. gada 15. oktobra un 21. novembra tiesas sēdēs pieņemtie lēmumi nav motivēti, un</w:t>
      </w:r>
      <w:r>
        <w:t xml:space="preserve"> to nevar atzīt par pamatu disciplinārās atbildības piemērošanai.</w:t>
      </w:r>
    </w:p>
    <w:p w14:paraId="5A02ABD5" w14:textId="77777777" w:rsidR="003556A9" w:rsidRDefault="003556A9" w:rsidP="003556A9">
      <w:pPr>
        <w:widowControl w:val="0"/>
        <w:autoSpaceDE w:val="0"/>
        <w:autoSpaceDN w:val="0"/>
        <w:adjustRightInd w:val="0"/>
        <w:ind w:firstLine="709"/>
      </w:pPr>
    </w:p>
    <w:p w14:paraId="3386F201" w14:textId="77777777" w:rsidR="003556A9" w:rsidRPr="00BD6B0F" w:rsidRDefault="003556A9" w:rsidP="003556A9">
      <w:pPr>
        <w:widowControl w:val="0"/>
        <w:autoSpaceDE w:val="0"/>
        <w:autoSpaceDN w:val="0"/>
        <w:adjustRightInd w:val="0"/>
        <w:ind w:firstLine="709"/>
        <w:rPr>
          <w:rFonts w:eastAsia="Times New Roman" w:cs="Times New Roman"/>
          <w:iCs/>
          <w:szCs w:val="24"/>
        </w:rPr>
      </w:pPr>
      <w:r>
        <w:t xml:space="preserve">[10] </w:t>
      </w:r>
      <w:r w:rsidRPr="00BD6B0F">
        <w:rPr>
          <w:rFonts w:eastAsia="Times New Roman" w:cs="Times New Roman"/>
          <w:iCs/>
          <w:szCs w:val="24"/>
        </w:rPr>
        <w:t xml:space="preserve">Saskaņā ar Tiesnešu disciplinārās atbildības likuma 7. panta piekto daļu, lemjot par disciplinārsodu, </w:t>
      </w:r>
      <w:r>
        <w:rPr>
          <w:rFonts w:eastAsia="Times New Roman" w:cs="Times New Roman"/>
          <w:iCs/>
          <w:szCs w:val="24"/>
        </w:rPr>
        <w:t xml:space="preserve">Tiesnešu </w:t>
      </w:r>
      <w:r w:rsidRPr="00595EDE">
        <w:rPr>
          <w:rFonts w:eastAsia="Times New Roman" w:cs="Times New Roman"/>
          <w:iCs/>
          <w:szCs w:val="24"/>
        </w:rPr>
        <w:t>disciplinārkolēģija</w:t>
      </w:r>
      <w:r w:rsidRPr="00BD6B0F">
        <w:rPr>
          <w:rFonts w:eastAsia="Times New Roman" w:cs="Times New Roman"/>
          <w:iCs/>
          <w:szCs w:val="24"/>
        </w:rPr>
        <w:t xml:space="preserve"> ņem vērā disciplinārā pārkāpuma raksturu, tā sekas, tiesneša vainas pakāpi nodarījumā, kā arī ziņas, kas raksturo viņa personību un iepriekšējo darbību tiesneša amatā.</w:t>
      </w:r>
    </w:p>
    <w:p w14:paraId="5AFEF238" w14:textId="62FD6DB2" w:rsidR="003556A9" w:rsidRDefault="003556A9" w:rsidP="003556A9">
      <w:pPr>
        <w:widowControl w:val="0"/>
        <w:autoSpaceDE w:val="0"/>
        <w:autoSpaceDN w:val="0"/>
        <w:adjustRightInd w:val="0"/>
        <w:ind w:firstLine="720"/>
      </w:pPr>
      <w:r>
        <w:rPr>
          <w:rFonts w:eastAsia="Times New Roman" w:cs="Times New Roman"/>
          <w:iCs/>
          <w:szCs w:val="24"/>
        </w:rPr>
        <w:lastRenderedPageBreak/>
        <w:t>Tiesnešu d</w:t>
      </w:r>
      <w:r w:rsidRPr="00BD6B0F">
        <w:rPr>
          <w:rFonts w:eastAsia="Times New Roman" w:cs="Times New Roman"/>
          <w:iCs/>
          <w:szCs w:val="24"/>
        </w:rPr>
        <w:t xml:space="preserve">isciplinārkolēģija konkrētajā lietā ņem vērā, ka </w:t>
      </w:r>
      <w:r>
        <w:rPr>
          <w:rFonts w:eastAsia="Times New Roman" w:cs="Times New Roman"/>
          <w:iCs/>
          <w:szCs w:val="24"/>
        </w:rPr>
        <w:t>laikā, kad tiesnese izskatīja civillietu Nr. </w:t>
      </w:r>
      <w:r w:rsidR="00163A2A">
        <w:t>[..]</w:t>
      </w:r>
      <w:r>
        <w:t>, tiesnese atradās pārejas periodā uz augstākas instances tiesu, strādāja ar nenokomplektētu tiesas sastāvu</w:t>
      </w:r>
      <w:proofErr w:type="gramStart"/>
      <w:r>
        <w:t xml:space="preserve"> un</w:t>
      </w:r>
      <w:proofErr w:type="gramEnd"/>
      <w:r>
        <w:t xml:space="preserve"> tiesneses rīcība bija saistīta ar vēlmi pabeigt šīs civillietas izskatīšanu pirmās instances tiesā. T</w:t>
      </w:r>
      <w:r w:rsidRPr="00BD6B0F">
        <w:rPr>
          <w:rFonts w:eastAsia="Times New Roman" w:cs="Times New Roman"/>
          <w:iCs/>
          <w:szCs w:val="24"/>
        </w:rPr>
        <w:t>iesnese</w:t>
      </w:r>
      <w:r>
        <w:rPr>
          <w:rFonts w:eastAsia="Times New Roman" w:cs="Times New Roman"/>
          <w:iCs/>
          <w:szCs w:val="24"/>
        </w:rPr>
        <w:t>s</w:t>
      </w:r>
      <w:r w:rsidRPr="00BD6B0F">
        <w:rPr>
          <w:rFonts w:eastAsia="Times New Roman" w:cs="Times New Roman"/>
          <w:iCs/>
          <w:szCs w:val="24"/>
        </w:rPr>
        <w:t xml:space="preserve"> pieļautais pārkāpums nav radījis kādas smagas</w:t>
      </w:r>
      <w:r>
        <w:rPr>
          <w:rFonts w:eastAsia="Times New Roman" w:cs="Times New Roman"/>
          <w:iCs/>
          <w:szCs w:val="24"/>
        </w:rPr>
        <w:t xml:space="preserve"> vai </w:t>
      </w:r>
      <w:r w:rsidRPr="00BD6B0F">
        <w:rPr>
          <w:rFonts w:eastAsia="Times New Roman" w:cs="Times New Roman"/>
          <w:iCs/>
          <w:szCs w:val="24"/>
        </w:rPr>
        <w:t xml:space="preserve">nenovēršamas sekas. </w:t>
      </w:r>
      <w:r>
        <w:rPr>
          <w:rFonts w:eastAsia="Times New Roman" w:cs="Times New Roman"/>
          <w:iCs/>
          <w:szCs w:val="24"/>
        </w:rPr>
        <w:t xml:space="preserve">SIA </w:t>
      </w:r>
      <w:r>
        <w:t>„</w:t>
      </w:r>
      <w:r w:rsidR="00163A2A">
        <w:t>[..]</w:t>
      </w:r>
      <w:r w:rsidRPr="00F10AA2">
        <w:t>”</w:t>
      </w:r>
      <w:r>
        <w:t xml:space="preserve">, kuras pretprasību tiesnese atteica pieņemt, ir cēlusi prasību vispārējā kārtībā. </w:t>
      </w:r>
    </w:p>
    <w:p w14:paraId="019F30BB" w14:textId="77777777" w:rsidR="003556A9" w:rsidRDefault="003556A9" w:rsidP="003556A9">
      <w:pPr>
        <w:widowControl w:val="0"/>
        <w:autoSpaceDE w:val="0"/>
        <w:autoSpaceDN w:val="0"/>
        <w:adjustRightInd w:val="0"/>
        <w:ind w:firstLine="720"/>
        <w:rPr>
          <w:rFonts w:eastAsia="Times New Roman" w:cs="Times New Roman"/>
          <w:iCs/>
          <w:szCs w:val="24"/>
        </w:rPr>
      </w:pPr>
      <w:r>
        <w:rPr>
          <w:rFonts w:eastAsia="Times New Roman" w:cs="Times New Roman"/>
          <w:iCs/>
          <w:szCs w:val="24"/>
        </w:rPr>
        <w:t>Ievērojot minēto, d</w:t>
      </w:r>
      <w:r w:rsidRPr="00BD6B0F">
        <w:rPr>
          <w:rFonts w:eastAsia="Times New Roman" w:cs="Times New Roman"/>
          <w:iCs/>
          <w:szCs w:val="24"/>
        </w:rPr>
        <w:t xml:space="preserve">isciplinārkolēģija atzīst, ka </w:t>
      </w:r>
      <w:r>
        <w:rPr>
          <w:rFonts w:eastAsia="Times New Roman" w:cs="Times New Roman"/>
          <w:iCs/>
          <w:szCs w:val="24"/>
        </w:rPr>
        <w:t xml:space="preserve">par konstatētajiem pārkāpumiem </w:t>
      </w:r>
      <w:r w:rsidRPr="00BD6B0F">
        <w:rPr>
          <w:rFonts w:eastAsia="Times New Roman" w:cs="Times New Roman"/>
          <w:iCs/>
          <w:szCs w:val="24"/>
        </w:rPr>
        <w:t>par atbilstošu dis</w:t>
      </w:r>
      <w:r>
        <w:rPr>
          <w:rFonts w:eastAsia="Times New Roman" w:cs="Times New Roman"/>
          <w:iCs/>
          <w:szCs w:val="24"/>
        </w:rPr>
        <w:t>ci</w:t>
      </w:r>
      <w:r w:rsidRPr="00BD6B0F">
        <w:rPr>
          <w:rFonts w:eastAsia="Times New Roman" w:cs="Times New Roman"/>
          <w:iCs/>
          <w:szCs w:val="24"/>
        </w:rPr>
        <w:t xml:space="preserve">plinārsodu ir atzīstama – piezīme. </w:t>
      </w:r>
    </w:p>
    <w:p w14:paraId="531D1601" w14:textId="77777777" w:rsidR="003556A9" w:rsidRDefault="003556A9" w:rsidP="003556A9">
      <w:pPr>
        <w:ind w:firstLine="720"/>
        <w:rPr>
          <w:rStyle w:val="CharStyle11"/>
          <w:color w:val="auto"/>
        </w:rPr>
      </w:pPr>
    </w:p>
    <w:p w14:paraId="1DE1F451" w14:textId="77777777" w:rsidR="003556A9" w:rsidRPr="00407DE6" w:rsidRDefault="003556A9" w:rsidP="003556A9">
      <w:pPr>
        <w:widowControl w:val="0"/>
        <w:autoSpaceDE w:val="0"/>
        <w:autoSpaceDN w:val="0"/>
        <w:adjustRightInd w:val="0"/>
        <w:jc w:val="center"/>
        <w:rPr>
          <w:rFonts w:eastAsia="Times New Roman" w:cs="Times New Roman"/>
          <w:b/>
          <w:iCs/>
          <w:szCs w:val="24"/>
        </w:rPr>
      </w:pPr>
      <w:r w:rsidRPr="00407DE6">
        <w:rPr>
          <w:rFonts w:eastAsia="Times New Roman" w:cs="Times New Roman"/>
          <w:b/>
          <w:iCs/>
          <w:szCs w:val="24"/>
        </w:rPr>
        <w:t>Rezolutīvā daļa</w:t>
      </w:r>
    </w:p>
    <w:p w14:paraId="00667F1A" w14:textId="77777777" w:rsidR="003556A9" w:rsidRPr="00407DE6" w:rsidRDefault="003556A9" w:rsidP="003556A9">
      <w:pPr>
        <w:widowControl w:val="0"/>
        <w:autoSpaceDE w:val="0"/>
        <w:autoSpaceDN w:val="0"/>
        <w:adjustRightInd w:val="0"/>
        <w:ind w:firstLine="720"/>
        <w:jc w:val="center"/>
        <w:rPr>
          <w:rFonts w:eastAsia="Times New Roman" w:cs="Times New Roman"/>
          <w:iCs/>
          <w:szCs w:val="24"/>
        </w:rPr>
      </w:pPr>
    </w:p>
    <w:p w14:paraId="7726BA58" w14:textId="77777777" w:rsidR="003556A9" w:rsidRPr="00BD6B0F" w:rsidRDefault="003556A9" w:rsidP="003556A9">
      <w:pPr>
        <w:widowControl w:val="0"/>
        <w:autoSpaceDE w:val="0"/>
        <w:autoSpaceDN w:val="0"/>
        <w:adjustRightInd w:val="0"/>
        <w:spacing w:line="300" w:lineRule="auto"/>
        <w:ind w:firstLine="720"/>
        <w:rPr>
          <w:rFonts w:eastAsia="Times New Roman" w:cs="Times New Roman"/>
          <w:iCs/>
          <w:szCs w:val="24"/>
        </w:rPr>
      </w:pPr>
      <w:r w:rsidRPr="00BD6B0F">
        <w:rPr>
          <w:rFonts w:eastAsia="Times New Roman" w:cs="Times New Roman"/>
          <w:iCs/>
          <w:szCs w:val="24"/>
        </w:rPr>
        <w:t>Pamatojoties uz Tiesnešu disciplinārās atbildības likuma 7. panta otrās daļas 1. punktu un ceturtās daļas 1.</w:t>
      </w:r>
      <w:r>
        <w:rPr>
          <w:rFonts w:eastAsia="Times New Roman" w:cs="Times New Roman"/>
          <w:iCs/>
          <w:szCs w:val="24"/>
        </w:rPr>
        <w:t> </w:t>
      </w:r>
      <w:r w:rsidRPr="00BD6B0F">
        <w:rPr>
          <w:rFonts w:eastAsia="Times New Roman" w:cs="Times New Roman"/>
          <w:iCs/>
          <w:szCs w:val="24"/>
        </w:rPr>
        <w:t>punktu, 11.</w:t>
      </w:r>
      <w:r w:rsidRPr="00BD6B0F">
        <w:rPr>
          <w:rFonts w:eastAsia="Times New Roman" w:cs="Times New Roman"/>
          <w:iCs/>
          <w:szCs w:val="24"/>
          <w:vertAlign w:val="superscript"/>
        </w:rPr>
        <w:t>1 </w:t>
      </w:r>
      <w:r w:rsidRPr="00BD6B0F">
        <w:rPr>
          <w:rFonts w:eastAsia="Times New Roman" w:cs="Times New Roman"/>
          <w:iCs/>
          <w:szCs w:val="24"/>
        </w:rPr>
        <w:t>panta pirmo daļu, Tiesnešu disciplinārkolēģija</w:t>
      </w:r>
    </w:p>
    <w:p w14:paraId="23C7C120" w14:textId="77777777" w:rsidR="003556A9" w:rsidRPr="00407DE6" w:rsidRDefault="003556A9" w:rsidP="003556A9">
      <w:pPr>
        <w:widowControl w:val="0"/>
        <w:autoSpaceDE w:val="0"/>
        <w:autoSpaceDN w:val="0"/>
        <w:adjustRightInd w:val="0"/>
        <w:ind w:firstLine="709"/>
        <w:rPr>
          <w:iCs/>
        </w:rPr>
      </w:pPr>
    </w:p>
    <w:p w14:paraId="4148B3EE" w14:textId="77777777" w:rsidR="003556A9" w:rsidRPr="00407DE6" w:rsidRDefault="003556A9" w:rsidP="003556A9">
      <w:pPr>
        <w:widowControl w:val="0"/>
        <w:autoSpaceDE w:val="0"/>
        <w:autoSpaceDN w:val="0"/>
        <w:adjustRightInd w:val="0"/>
        <w:jc w:val="center"/>
        <w:rPr>
          <w:rFonts w:eastAsia="Times New Roman" w:cs="Times New Roman"/>
          <w:b/>
          <w:iCs/>
          <w:szCs w:val="24"/>
        </w:rPr>
      </w:pPr>
      <w:r w:rsidRPr="00407DE6">
        <w:rPr>
          <w:rFonts w:eastAsia="Times New Roman" w:cs="Times New Roman"/>
          <w:b/>
          <w:iCs/>
          <w:szCs w:val="24"/>
        </w:rPr>
        <w:t>nolēma</w:t>
      </w:r>
    </w:p>
    <w:p w14:paraId="1D2B79FE" w14:textId="77777777" w:rsidR="003556A9" w:rsidRPr="00407DE6" w:rsidRDefault="003556A9" w:rsidP="003556A9">
      <w:pPr>
        <w:widowControl w:val="0"/>
        <w:autoSpaceDE w:val="0"/>
        <w:autoSpaceDN w:val="0"/>
        <w:adjustRightInd w:val="0"/>
        <w:ind w:firstLine="720"/>
        <w:jc w:val="center"/>
        <w:rPr>
          <w:rFonts w:eastAsia="Times New Roman" w:cs="Times New Roman"/>
          <w:iCs/>
          <w:szCs w:val="24"/>
        </w:rPr>
      </w:pPr>
    </w:p>
    <w:p w14:paraId="27F3D885" w14:textId="77777777" w:rsidR="003556A9" w:rsidRPr="00BD6B0F" w:rsidRDefault="003556A9" w:rsidP="003556A9">
      <w:pPr>
        <w:widowControl w:val="0"/>
        <w:autoSpaceDE w:val="0"/>
        <w:autoSpaceDN w:val="0"/>
        <w:adjustRightInd w:val="0"/>
        <w:spacing w:line="300" w:lineRule="auto"/>
        <w:ind w:firstLine="720"/>
        <w:rPr>
          <w:rFonts w:eastAsia="Times New Roman" w:cs="Times New Roman"/>
          <w:b/>
          <w:iCs/>
          <w:szCs w:val="24"/>
        </w:rPr>
      </w:pPr>
      <w:r>
        <w:rPr>
          <w:rStyle w:val="CharStyle11"/>
          <w:rFonts w:cs="Times New Roman"/>
          <w:szCs w:val="24"/>
        </w:rPr>
        <w:t>Vidzemes apgabaltiesas</w:t>
      </w:r>
      <w:r w:rsidRPr="00A504A4">
        <w:rPr>
          <w:rStyle w:val="CharStyle11"/>
          <w:rFonts w:cs="Times New Roman"/>
          <w:szCs w:val="24"/>
        </w:rPr>
        <w:t xml:space="preserve"> tiesnes</w:t>
      </w:r>
      <w:r>
        <w:rPr>
          <w:rStyle w:val="CharStyle11"/>
          <w:rFonts w:cs="Times New Roman"/>
          <w:szCs w:val="24"/>
        </w:rPr>
        <w:t xml:space="preserve">ei Santai </w:t>
      </w:r>
      <w:proofErr w:type="spellStart"/>
      <w:r>
        <w:rPr>
          <w:rStyle w:val="CharStyle11"/>
          <w:rFonts w:cs="Times New Roman"/>
          <w:szCs w:val="24"/>
        </w:rPr>
        <w:t>Bernhardei</w:t>
      </w:r>
      <w:proofErr w:type="spellEnd"/>
      <w:r w:rsidRPr="00BD6B0F">
        <w:rPr>
          <w:rFonts w:eastAsia="Times New Roman" w:cs="Times New Roman"/>
          <w:iCs/>
          <w:szCs w:val="24"/>
        </w:rPr>
        <w:t xml:space="preserve"> uzlikt disciplinārsodu </w:t>
      </w:r>
      <w:r w:rsidRPr="00BD6B0F">
        <w:rPr>
          <w:rFonts w:eastAsia="Times New Roman" w:cs="Times New Roman"/>
          <w:b/>
          <w:iCs/>
          <w:szCs w:val="24"/>
        </w:rPr>
        <w:t xml:space="preserve">– </w:t>
      </w:r>
      <w:r w:rsidRPr="00BD6B0F">
        <w:rPr>
          <w:rFonts w:eastAsia="Times New Roman" w:cs="Times New Roman"/>
          <w:bCs/>
          <w:iCs/>
          <w:szCs w:val="24"/>
        </w:rPr>
        <w:t>piezīmi.</w:t>
      </w:r>
    </w:p>
    <w:p w14:paraId="50C63896" w14:textId="77777777" w:rsidR="003556A9" w:rsidRPr="00BD6B0F" w:rsidRDefault="003556A9" w:rsidP="003556A9">
      <w:pPr>
        <w:widowControl w:val="0"/>
        <w:autoSpaceDE w:val="0"/>
        <w:autoSpaceDN w:val="0"/>
        <w:adjustRightInd w:val="0"/>
        <w:spacing w:line="300" w:lineRule="auto"/>
        <w:ind w:firstLine="720"/>
        <w:rPr>
          <w:rFonts w:eastAsia="Times New Roman" w:cs="Times New Roman"/>
          <w:iCs/>
          <w:szCs w:val="24"/>
        </w:rPr>
      </w:pPr>
      <w:r w:rsidRPr="00BD6B0F">
        <w:rPr>
          <w:rFonts w:eastAsia="Times New Roman" w:cs="Times New Roman"/>
          <w:iCs/>
          <w:szCs w:val="24"/>
        </w:rPr>
        <w:t xml:space="preserve">Lēmumu tiesnese var pārsūdzēt </w:t>
      </w:r>
      <w:proofErr w:type="spellStart"/>
      <w:r w:rsidRPr="00BD6B0F">
        <w:rPr>
          <w:rFonts w:eastAsia="Times New Roman" w:cs="Times New Roman"/>
          <w:iCs/>
          <w:szCs w:val="24"/>
        </w:rPr>
        <w:t>Disciplinārtiesā</w:t>
      </w:r>
      <w:proofErr w:type="spellEnd"/>
      <w:r w:rsidRPr="00BD6B0F">
        <w:rPr>
          <w:rFonts w:eastAsia="Times New Roman" w:cs="Times New Roman"/>
          <w:iCs/>
          <w:szCs w:val="24"/>
        </w:rPr>
        <w:t xml:space="preserve"> septiņu dienu laikā no lēmuma saņemšanas dienas.</w:t>
      </w:r>
    </w:p>
    <w:p w14:paraId="5F75BD43" w14:textId="77777777" w:rsidR="003556A9" w:rsidRPr="00BD6B0F" w:rsidRDefault="003556A9" w:rsidP="003556A9">
      <w:pPr>
        <w:widowControl w:val="0"/>
        <w:autoSpaceDE w:val="0"/>
        <w:autoSpaceDN w:val="0"/>
        <w:adjustRightInd w:val="0"/>
        <w:spacing w:line="300" w:lineRule="auto"/>
        <w:rPr>
          <w:rFonts w:eastAsia="Times New Roman" w:cs="Times New Roman"/>
          <w:iCs/>
          <w:szCs w:val="24"/>
        </w:rPr>
      </w:pPr>
    </w:p>
    <w:p w14:paraId="42EAAD53" w14:textId="77777777" w:rsidR="003556A9" w:rsidRPr="00BD6B0F" w:rsidRDefault="003556A9" w:rsidP="003556A9">
      <w:pPr>
        <w:widowControl w:val="0"/>
        <w:tabs>
          <w:tab w:val="left" w:pos="5954"/>
        </w:tabs>
        <w:autoSpaceDE w:val="0"/>
        <w:autoSpaceDN w:val="0"/>
        <w:adjustRightInd w:val="0"/>
        <w:spacing w:line="300" w:lineRule="auto"/>
        <w:rPr>
          <w:rFonts w:eastAsia="Times New Roman" w:cs="Times New Roman"/>
          <w:iCs/>
          <w:szCs w:val="24"/>
        </w:rPr>
      </w:pPr>
      <w:r w:rsidRPr="00BD6B0F">
        <w:rPr>
          <w:rFonts w:eastAsia="Times New Roman" w:cs="Times New Roman"/>
          <w:iCs/>
          <w:szCs w:val="24"/>
        </w:rPr>
        <w:t>Sēdes priekšsēdētājs</w:t>
      </w:r>
      <w:proofErr w:type="gramStart"/>
      <w:r>
        <w:rPr>
          <w:rFonts w:eastAsia="Times New Roman" w:cs="Times New Roman"/>
          <w:iCs/>
          <w:szCs w:val="24"/>
        </w:rPr>
        <w:t xml:space="preserve">                                                                  </w:t>
      </w:r>
      <w:proofErr w:type="gramEnd"/>
      <w:r w:rsidRPr="00BD6B0F">
        <w:rPr>
          <w:rFonts w:eastAsia="Times New Roman" w:cs="Times New Roman"/>
          <w:iCs/>
          <w:szCs w:val="24"/>
        </w:rPr>
        <w:t>V. Maksimovs</w:t>
      </w:r>
    </w:p>
    <w:p w14:paraId="400817E7" w14:textId="77777777" w:rsidR="003556A9" w:rsidRPr="00BD6B0F" w:rsidRDefault="003556A9" w:rsidP="003556A9">
      <w:pPr>
        <w:widowControl w:val="0"/>
        <w:autoSpaceDE w:val="0"/>
        <w:autoSpaceDN w:val="0"/>
        <w:adjustRightInd w:val="0"/>
        <w:spacing w:line="240" w:lineRule="auto"/>
        <w:rPr>
          <w:rFonts w:eastAsia="Times New Roman" w:cs="Times New Roman"/>
          <w:iCs/>
          <w:szCs w:val="24"/>
        </w:rPr>
      </w:pPr>
    </w:p>
    <w:p w14:paraId="1189CF17"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sidRPr="00BD6B0F">
        <w:rPr>
          <w:rFonts w:eastAsia="Times New Roman" w:cs="Times New Roman"/>
          <w:iCs/>
          <w:szCs w:val="24"/>
        </w:rPr>
        <w:t>Kolēģijas locekļi</w:t>
      </w:r>
      <w:proofErr w:type="gramStart"/>
      <w:r>
        <w:rPr>
          <w:rFonts w:eastAsia="Times New Roman" w:cs="Times New Roman"/>
          <w:iCs/>
          <w:szCs w:val="24"/>
        </w:rPr>
        <w:t xml:space="preserve">                                                                       </w:t>
      </w:r>
      <w:proofErr w:type="gramEnd"/>
      <w:r w:rsidRPr="00BD6B0F">
        <w:rPr>
          <w:rFonts w:eastAsia="Times New Roman" w:cs="Times New Roman"/>
          <w:iCs/>
          <w:szCs w:val="24"/>
        </w:rPr>
        <w:tab/>
        <w:t>L. Slica</w:t>
      </w:r>
      <w:r w:rsidRPr="001F03EB">
        <w:rPr>
          <w:rFonts w:eastAsia="Times New Roman" w:cs="Times New Roman"/>
          <w:iCs/>
          <w:szCs w:val="24"/>
        </w:rPr>
        <w:t xml:space="preserve"> </w:t>
      </w:r>
    </w:p>
    <w:p w14:paraId="6EDA547C"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r>
      <w:r>
        <w:rPr>
          <w:rFonts w:eastAsia="Times New Roman" w:cs="Times New Roman"/>
          <w:iCs/>
          <w:szCs w:val="24"/>
        </w:rPr>
        <w:tab/>
      </w:r>
    </w:p>
    <w:p w14:paraId="48E7FC8D"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r>
      <w:r w:rsidRPr="00BD6B0F">
        <w:rPr>
          <w:rFonts w:eastAsia="Times New Roman" w:cs="Times New Roman"/>
          <w:iCs/>
          <w:szCs w:val="24"/>
        </w:rPr>
        <w:t>K. Berķis</w:t>
      </w:r>
    </w:p>
    <w:p w14:paraId="06D08F75"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p>
    <w:p w14:paraId="0A1C3401"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r>
      <w:r w:rsidRPr="00BD6B0F">
        <w:rPr>
          <w:rFonts w:eastAsia="Times New Roman" w:cs="Times New Roman"/>
          <w:iCs/>
          <w:szCs w:val="24"/>
        </w:rPr>
        <w:t>L. Grauda</w:t>
      </w:r>
      <w:r w:rsidRPr="001F03EB">
        <w:rPr>
          <w:rFonts w:eastAsia="Times New Roman" w:cs="Times New Roman"/>
          <w:iCs/>
          <w:szCs w:val="24"/>
        </w:rPr>
        <w:t xml:space="preserve"> </w:t>
      </w:r>
    </w:p>
    <w:p w14:paraId="7703BC30"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p>
    <w:p w14:paraId="6557759F"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r>
      <w:r w:rsidRPr="00BD6B0F">
        <w:rPr>
          <w:rFonts w:eastAsia="Times New Roman" w:cs="Times New Roman"/>
          <w:iCs/>
          <w:szCs w:val="24"/>
        </w:rPr>
        <w:t>L. Baltmane-Zepa</w:t>
      </w:r>
      <w:r w:rsidRPr="001F03EB">
        <w:rPr>
          <w:rFonts w:eastAsia="Times New Roman" w:cs="Times New Roman"/>
          <w:iCs/>
          <w:szCs w:val="24"/>
        </w:rPr>
        <w:t xml:space="preserve"> </w:t>
      </w:r>
    </w:p>
    <w:p w14:paraId="67483C16"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p>
    <w:p w14:paraId="59360456"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r>
      <w:r w:rsidRPr="001F03EB">
        <w:rPr>
          <w:rFonts w:eastAsia="Times New Roman" w:cs="Times New Roman"/>
          <w:iCs/>
          <w:szCs w:val="24"/>
        </w:rPr>
        <w:t>I.</w:t>
      </w:r>
      <w:r w:rsidRPr="00BD6B0F">
        <w:rPr>
          <w:rFonts w:eastAsia="Times New Roman" w:cs="Times New Roman"/>
          <w:iCs/>
          <w:szCs w:val="24"/>
        </w:rPr>
        <w:t> Andruškina</w:t>
      </w:r>
    </w:p>
    <w:p w14:paraId="08514A1C"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p>
    <w:p w14:paraId="3194D91B" w14:textId="77777777" w:rsidR="003556A9"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Pr>
          <w:rFonts w:eastAsia="Times New Roman" w:cs="Times New Roman"/>
          <w:iCs/>
          <w:szCs w:val="24"/>
        </w:rPr>
        <w:tab/>
        <w:t>K. Vanaga</w:t>
      </w:r>
    </w:p>
    <w:p w14:paraId="3659BED8" w14:textId="77777777" w:rsidR="003556A9" w:rsidRPr="00BD6B0F" w:rsidRDefault="003556A9" w:rsidP="003556A9">
      <w:pPr>
        <w:widowControl w:val="0"/>
        <w:tabs>
          <w:tab w:val="left" w:pos="5954"/>
        </w:tabs>
        <w:autoSpaceDE w:val="0"/>
        <w:autoSpaceDN w:val="0"/>
        <w:adjustRightInd w:val="0"/>
        <w:spacing w:line="240" w:lineRule="auto"/>
        <w:rPr>
          <w:rFonts w:eastAsia="Times New Roman" w:cs="Times New Roman"/>
          <w:iCs/>
          <w:szCs w:val="24"/>
        </w:rPr>
      </w:pPr>
      <w:r w:rsidRPr="00BD6B0F">
        <w:rPr>
          <w:rFonts w:eastAsia="Times New Roman" w:cs="Times New Roman"/>
          <w:iCs/>
          <w:szCs w:val="24"/>
        </w:rPr>
        <w:t xml:space="preserve">                                                                                        </w:t>
      </w:r>
    </w:p>
    <w:p w14:paraId="2BFB3CBC" w14:textId="77777777" w:rsidR="003556A9" w:rsidRPr="00BD6B0F" w:rsidRDefault="003556A9" w:rsidP="003556A9">
      <w:pPr>
        <w:widowControl w:val="0"/>
        <w:tabs>
          <w:tab w:val="left" w:pos="5954"/>
        </w:tabs>
        <w:autoSpaceDE w:val="0"/>
        <w:autoSpaceDN w:val="0"/>
        <w:adjustRightInd w:val="0"/>
        <w:spacing w:line="240" w:lineRule="auto"/>
        <w:rPr>
          <w:rFonts w:eastAsia="Times New Roman" w:cs="Times New Roman"/>
          <w:iCs/>
          <w:szCs w:val="24"/>
        </w:rPr>
      </w:pPr>
    </w:p>
    <w:p w14:paraId="57431C32" w14:textId="77777777" w:rsidR="003556A9" w:rsidRPr="00041886" w:rsidRDefault="003556A9" w:rsidP="003556A9">
      <w:pPr>
        <w:rPr>
          <w:rFonts w:cs="Times New Roman"/>
          <w:szCs w:val="24"/>
        </w:rPr>
      </w:pPr>
    </w:p>
    <w:p w14:paraId="40B6B6C9" w14:textId="77777777" w:rsidR="00181D5F" w:rsidRDefault="00181D5F"/>
    <w:sectPr w:rsidR="00181D5F" w:rsidSect="003556A9">
      <w:headerReference w:type="even" r:id="rId4"/>
      <w:headerReference w:type="default" r:id="rId5"/>
      <w:footerReference w:type="even" r:id="rId6"/>
      <w:footerReference w:type="default" r:id="rId7"/>
      <w:headerReference w:type="first" r:id="rId8"/>
      <w:footerReference w:type="first" r:id="rId9"/>
      <w:pgSz w:w="11906" w:h="16838"/>
      <w:pgMar w:top="1134" w:right="170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5B60" w14:textId="77777777" w:rsidR="003556A9" w:rsidRDefault="0035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3378" w14:textId="77777777" w:rsidR="003556A9" w:rsidRPr="00C8314D" w:rsidRDefault="003556A9" w:rsidP="00FA1EB9">
    <w:pPr>
      <w:tabs>
        <w:tab w:val="center" w:pos="4153"/>
        <w:tab w:val="right" w:pos="8306"/>
      </w:tabs>
      <w:jc w:val="center"/>
      <w:rPr>
        <w:rFonts w:ascii="Calibri" w:eastAsia="Calibri" w:hAnsi="Calibri" w:cs="Times New Roman"/>
      </w:rPr>
    </w:pPr>
    <w:sdt>
      <w:sdtPr>
        <w:rPr>
          <w:rFonts w:ascii="Calibri" w:eastAsia="Calibri" w:hAnsi="Calibri" w:cs="Times New Roman"/>
        </w:rPr>
        <w:id w:val="1728636285"/>
        <w:docPartObj>
          <w:docPartGallery w:val="Page Numbers (Top of Page)"/>
          <w:docPartUnique/>
        </w:docPartObj>
      </w:sdtPr>
      <w:sdtContent>
        <w:r w:rsidRPr="00C8314D">
          <w:rPr>
            <w:rFonts w:eastAsia="Calibri" w:cs="Times New Roman"/>
            <w:bCs/>
          </w:rPr>
          <w:fldChar w:fldCharType="begin"/>
        </w:r>
        <w:r w:rsidRPr="00C8314D">
          <w:rPr>
            <w:rFonts w:eastAsia="Calibri" w:cs="Times New Roman"/>
            <w:bCs/>
          </w:rPr>
          <w:instrText xml:space="preserve"> PAGE </w:instrText>
        </w:r>
        <w:r w:rsidRPr="00C8314D">
          <w:rPr>
            <w:rFonts w:eastAsia="Calibri" w:cs="Times New Roman"/>
            <w:bCs/>
          </w:rPr>
          <w:fldChar w:fldCharType="separate"/>
        </w:r>
        <w:r w:rsidRPr="00C8314D">
          <w:rPr>
            <w:rFonts w:eastAsia="Calibri" w:cs="Times New Roman"/>
            <w:bCs/>
            <w:noProof/>
          </w:rPr>
          <w:t>4</w:t>
        </w:r>
        <w:r w:rsidRPr="00C8314D">
          <w:rPr>
            <w:rFonts w:eastAsia="Calibri" w:cs="Times New Roman"/>
            <w:bCs/>
          </w:rPr>
          <w:fldChar w:fldCharType="end"/>
        </w:r>
        <w:r w:rsidRPr="00C8314D">
          <w:rPr>
            <w:rFonts w:eastAsia="Calibri" w:cs="Times New Roman"/>
          </w:rPr>
          <w:t xml:space="preserve"> no </w:t>
        </w:r>
        <w:r w:rsidRPr="00C8314D">
          <w:rPr>
            <w:rFonts w:eastAsia="Calibri" w:cs="Times New Roman"/>
            <w:bCs/>
          </w:rPr>
          <w:fldChar w:fldCharType="begin"/>
        </w:r>
        <w:r w:rsidRPr="00C8314D">
          <w:rPr>
            <w:rFonts w:eastAsia="Calibri" w:cs="Times New Roman"/>
            <w:bCs/>
          </w:rPr>
          <w:instrText xml:space="preserve"> NUMPAGES  </w:instrText>
        </w:r>
        <w:r w:rsidRPr="00C8314D">
          <w:rPr>
            <w:rFonts w:eastAsia="Calibri" w:cs="Times New Roman"/>
            <w:bCs/>
          </w:rPr>
          <w:fldChar w:fldCharType="separate"/>
        </w:r>
        <w:r w:rsidRPr="00C8314D">
          <w:rPr>
            <w:rFonts w:eastAsia="Calibri" w:cs="Times New Roman"/>
            <w:bCs/>
            <w:noProof/>
          </w:rPr>
          <w:t>4</w:t>
        </w:r>
        <w:r w:rsidRPr="00C8314D">
          <w:rPr>
            <w:rFonts w:eastAsia="Calibri" w:cs="Times New Roman"/>
            <w:bCs/>
          </w:rPr>
          <w:fldChar w:fldCharType="end"/>
        </w:r>
      </w:sdtContent>
    </w:sdt>
  </w:p>
  <w:p w14:paraId="2A27607B" w14:textId="77777777" w:rsidR="003556A9" w:rsidRDefault="00355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DC3E" w14:textId="77777777" w:rsidR="003556A9" w:rsidRPr="007C68F0" w:rsidRDefault="003556A9" w:rsidP="00BE1AFD">
    <w:pPr>
      <w:pStyle w:val="Footer"/>
      <w:jc w:val="center"/>
    </w:pPr>
    <w:sdt>
      <w:sdtPr>
        <w:id w:val="-670568719"/>
        <w:docPartObj>
          <w:docPartGallery w:val="Page Numbers (Top of Page)"/>
          <w:docPartUnique/>
        </w:docPartObj>
      </w:sdtPr>
      <w:sdtContent>
        <w:r w:rsidRPr="007C68F0">
          <w:fldChar w:fldCharType="begin"/>
        </w:r>
        <w:r w:rsidRPr="007C68F0">
          <w:instrText xml:space="preserve"> PAGE </w:instrText>
        </w:r>
        <w:r w:rsidRPr="007C68F0">
          <w:fldChar w:fldCharType="separate"/>
        </w:r>
        <w:r>
          <w:t>1</w:t>
        </w:r>
        <w:r w:rsidRPr="007C68F0">
          <w:fldChar w:fldCharType="end"/>
        </w:r>
        <w:r w:rsidRPr="007C68F0">
          <w:t xml:space="preserve"> no </w:t>
        </w:r>
        <w:r>
          <w:fldChar w:fldCharType="begin"/>
        </w:r>
        <w:r>
          <w:instrText xml:space="preserve"> NUMPAGES  </w:instrText>
        </w:r>
        <w:r>
          <w:fldChar w:fldCharType="separate"/>
        </w:r>
        <w:r>
          <w:t>6</w:t>
        </w:r>
        <w:r>
          <w:fldChar w:fldCharType="end"/>
        </w:r>
      </w:sdtContent>
    </w:sdt>
  </w:p>
  <w:p w14:paraId="13B228CB" w14:textId="77777777" w:rsidR="003556A9" w:rsidRDefault="003556A9" w:rsidP="00BE1AFD">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6E3" w14:textId="77777777" w:rsidR="003556A9" w:rsidRDefault="00355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2B1C" w14:textId="77777777" w:rsidR="003556A9" w:rsidRDefault="00355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691F" w14:textId="77777777" w:rsidR="003556A9" w:rsidRDefault="003556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A9"/>
    <w:rsid w:val="00073D83"/>
    <w:rsid w:val="00163A2A"/>
    <w:rsid w:val="00181D5F"/>
    <w:rsid w:val="003556A9"/>
    <w:rsid w:val="005474D6"/>
    <w:rsid w:val="00BD50BD"/>
    <w:rsid w:val="00C43CC7"/>
    <w:rsid w:val="00DA0335"/>
    <w:rsid w:val="00F050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B996"/>
  <w15:chartTrackingRefBased/>
  <w15:docId w15:val="{EF746416-73A3-4AA6-879D-60E92CE7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A9"/>
    <w:pPr>
      <w:spacing w:after="0" w:line="276" w:lineRule="auto"/>
      <w:jc w:val="both"/>
    </w:pPr>
    <w:rPr>
      <w:kern w:val="0"/>
      <w14:ligatures w14:val="none"/>
    </w:rPr>
  </w:style>
  <w:style w:type="paragraph" w:styleId="Heading1">
    <w:name w:val="heading 1"/>
    <w:basedOn w:val="Normal"/>
    <w:next w:val="Normal"/>
    <w:link w:val="Heading1Char"/>
    <w:uiPriority w:val="9"/>
    <w:qFormat/>
    <w:rsid w:val="003556A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56A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56A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56A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56A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56A9"/>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56A9"/>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56A9"/>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56A9"/>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56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6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6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56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56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6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6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6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6A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5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6A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56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6A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556A9"/>
    <w:rPr>
      <w:i/>
      <w:iCs/>
      <w:color w:val="404040" w:themeColor="text1" w:themeTint="BF"/>
    </w:rPr>
  </w:style>
  <w:style w:type="paragraph" w:styleId="ListParagraph">
    <w:name w:val="List Paragraph"/>
    <w:basedOn w:val="Normal"/>
    <w:uiPriority w:val="34"/>
    <w:qFormat/>
    <w:rsid w:val="003556A9"/>
    <w:pPr>
      <w:spacing w:after="160" w:line="259" w:lineRule="auto"/>
      <w:ind w:left="720"/>
      <w:contextualSpacing/>
      <w:jc w:val="left"/>
    </w:pPr>
    <w:rPr>
      <w:kern w:val="2"/>
      <w14:ligatures w14:val="standardContextual"/>
    </w:rPr>
  </w:style>
  <w:style w:type="character" w:styleId="IntenseEmphasis">
    <w:name w:val="Intense Emphasis"/>
    <w:basedOn w:val="DefaultParagraphFont"/>
    <w:uiPriority w:val="21"/>
    <w:qFormat/>
    <w:rsid w:val="003556A9"/>
    <w:rPr>
      <w:i/>
      <w:iCs/>
      <w:color w:val="2F5496" w:themeColor="accent1" w:themeShade="BF"/>
    </w:rPr>
  </w:style>
  <w:style w:type="paragraph" w:styleId="IntenseQuote">
    <w:name w:val="Intense Quote"/>
    <w:basedOn w:val="Normal"/>
    <w:next w:val="Normal"/>
    <w:link w:val="IntenseQuoteChar"/>
    <w:uiPriority w:val="30"/>
    <w:qFormat/>
    <w:rsid w:val="003556A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556A9"/>
    <w:rPr>
      <w:i/>
      <w:iCs/>
      <w:color w:val="2F5496" w:themeColor="accent1" w:themeShade="BF"/>
    </w:rPr>
  </w:style>
  <w:style w:type="character" w:styleId="IntenseReference">
    <w:name w:val="Intense Reference"/>
    <w:basedOn w:val="DefaultParagraphFont"/>
    <w:uiPriority w:val="32"/>
    <w:qFormat/>
    <w:rsid w:val="003556A9"/>
    <w:rPr>
      <w:b/>
      <w:bCs/>
      <w:smallCaps/>
      <w:color w:val="2F5496" w:themeColor="accent1" w:themeShade="BF"/>
      <w:spacing w:val="5"/>
    </w:rPr>
  </w:style>
  <w:style w:type="paragraph" w:styleId="Header">
    <w:name w:val="header"/>
    <w:basedOn w:val="Normal"/>
    <w:link w:val="HeaderChar"/>
    <w:uiPriority w:val="99"/>
    <w:unhideWhenUsed/>
    <w:rsid w:val="003556A9"/>
    <w:pPr>
      <w:tabs>
        <w:tab w:val="center" w:pos="4153"/>
        <w:tab w:val="right" w:pos="8306"/>
      </w:tabs>
    </w:pPr>
  </w:style>
  <w:style w:type="character" w:customStyle="1" w:styleId="HeaderChar">
    <w:name w:val="Header Char"/>
    <w:basedOn w:val="DefaultParagraphFont"/>
    <w:link w:val="Header"/>
    <w:uiPriority w:val="99"/>
    <w:rsid w:val="003556A9"/>
    <w:rPr>
      <w:kern w:val="0"/>
      <w14:ligatures w14:val="none"/>
    </w:rPr>
  </w:style>
  <w:style w:type="paragraph" w:styleId="Footer">
    <w:name w:val="footer"/>
    <w:basedOn w:val="Normal"/>
    <w:link w:val="FooterChar"/>
    <w:uiPriority w:val="99"/>
    <w:unhideWhenUsed/>
    <w:rsid w:val="003556A9"/>
    <w:pPr>
      <w:tabs>
        <w:tab w:val="center" w:pos="4153"/>
        <w:tab w:val="right" w:pos="8306"/>
      </w:tabs>
    </w:pPr>
  </w:style>
  <w:style w:type="character" w:customStyle="1" w:styleId="FooterChar">
    <w:name w:val="Footer Char"/>
    <w:basedOn w:val="DefaultParagraphFont"/>
    <w:link w:val="Footer"/>
    <w:uiPriority w:val="99"/>
    <w:rsid w:val="003556A9"/>
    <w:rPr>
      <w:kern w:val="0"/>
      <w14:ligatures w14:val="none"/>
    </w:rPr>
  </w:style>
  <w:style w:type="character" w:customStyle="1" w:styleId="CharStyle11">
    <w:name w:val="Char Style 11"/>
    <w:basedOn w:val="DefaultParagraphFont"/>
    <w:link w:val="Style10"/>
    <w:uiPriority w:val="99"/>
    <w:rsid w:val="003556A9"/>
    <w:rPr>
      <w:color w:val="000000"/>
    </w:rPr>
  </w:style>
  <w:style w:type="paragraph" w:customStyle="1" w:styleId="Style10">
    <w:name w:val="Style 10"/>
    <w:basedOn w:val="Normal"/>
    <w:link w:val="CharStyle11"/>
    <w:uiPriority w:val="99"/>
    <w:rsid w:val="003556A9"/>
    <w:pPr>
      <w:widowControl w:val="0"/>
      <w:spacing w:line="302" w:lineRule="auto"/>
      <w:ind w:firstLine="400"/>
    </w:pPr>
    <w:rPr>
      <w:color w:val="000000"/>
      <w:kern w:val="2"/>
      <w14:ligatures w14:val="standardContextual"/>
    </w:rPr>
  </w:style>
  <w:style w:type="character" w:customStyle="1" w:styleId="normaltextrun">
    <w:name w:val="normaltextrun"/>
    <w:basedOn w:val="DefaultParagraphFont"/>
    <w:rsid w:val="003556A9"/>
  </w:style>
  <w:style w:type="character" w:customStyle="1" w:styleId="eop">
    <w:name w:val="eop"/>
    <w:basedOn w:val="DefaultParagraphFont"/>
    <w:rsid w:val="003556A9"/>
  </w:style>
  <w:style w:type="character" w:styleId="Emphasis">
    <w:name w:val="Emphasis"/>
    <w:basedOn w:val="DefaultParagraphFont"/>
    <w:uiPriority w:val="20"/>
    <w:qFormat/>
    <w:rsid w:val="003556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10524</Words>
  <Characters>6000</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Jefimova</dc:creator>
  <cp:keywords/>
  <dc:description/>
  <cp:lastModifiedBy>Sanita Jefimova</cp:lastModifiedBy>
  <cp:revision>1</cp:revision>
  <dcterms:created xsi:type="dcterms:W3CDTF">2025-10-15T08:19:00Z</dcterms:created>
  <dcterms:modified xsi:type="dcterms:W3CDTF">2025-10-15T08:41:00Z</dcterms:modified>
</cp:coreProperties>
</file>