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9DB18" w14:textId="77777777" w:rsidR="00C377BF" w:rsidRPr="003F32ED" w:rsidRDefault="00C377BF" w:rsidP="0073783D">
      <w:pPr>
        <w:pStyle w:val="Standard"/>
        <w:spacing w:line="274" w:lineRule="auto"/>
        <w:ind w:right="420"/>
        <w:jc w:val="center"/>
        <w:rPr>
          <w:rFonts w:cs="Times New Roman"/>
          <w:b/>
          <w:bCs/>
        </w:rPr>
      </w:pPr>
      <w:r w:rsidRPr="003F32ED">
        <w:rPr>
          <w:rFonts w:cs="Times New Roman"/>
          <w:b/>
          <w:bCs/>
        </w:rPr>
        <w:t>Tiesnešu ētikas komisija</w:t>
      </w:r>
    </w:p>
    <w:p w14:paraId="06F4FCF5" w14:textId="77777777" w:rsidR="00C377BF" w:rsidRPr="003F32ED" w:rsidRDefault="00C377BF" w:rsidP="0073783D">
      <w:pPr>
        <w:pStyle w:val="Standard"/>
        <w:spacing w:line="274" w:lineRule="auto"/>
        <w:ind w:right="420"/>
        <w:jc w:val="center"/>
        <w:rPr>
          <w:rFonts w:cs="Times New Roman"/>
          <w:b/>
          <w:bCs/>
          <w:spacing w:val="20"/>
        </w:rPr>
      </w:pPr>
      <w:r w:rsidRPr="003F32ED">
        <w:rPr>
          <w:rFonts w:cs="Times New Roman"/>
          <w:b/>
          <w:bCs/>
          <w:spacing w:val="20"/>
        </w:rPr>
        <w:t>ATZINUMS</w:t>
      </w:r>
    </w:p>
    <w:p w14:paraId="7F98F07B" w14:textId="77777777" w:rsidR="00C377BF" w:rsidRPr="003F32ED" w:rsidRDefault="00C377BF" w:rsidP="0073783D">
      <w:pPr>
        <w:pStyle w:val="Standard"/>
        <w:spacing w:line="274" w:lineRule="auto"/>
        <w:ind w:right="420"/>
        <w:jc w:val="both"/>
        <w:rPr>
          <w:rFonts w:cs="Times New Roman"/>
          <w:b/>
          <w:bCs/>
        </w:rPr>
      </w:pPr>
    </w:p>
    <w:p w14:paraId="155A44BF" w14:textId="77777777" w:rsidR="0073783D" w:rsidRDefault="0073783D" w:rsidP="0073783D">
      <w:pPr>
        <w:pStyle w:val="Bezatstarpm"/>
        <w:spacing w:line="274" w:lineRule="auto"/>
        <w:ind w:right="420"/>
        <w:jc w:val="right"/>
        <w:rPr>
          <w:rFonts w:ascii="Times New Roman" w:hAnsi="Times New Roman" w:cs="Times New Roman"/>
          <w:sz w:val="24"/>
          <w:szCs w:val="24"/>
        </w:rPr>
      </w:pPr>
    </w:p>
    <w:p w14:paraId="3847D386" w14:textId="57272F9B" w:rsidR="00C377BF" w:rsidRPr="003F32ED" w:rsidRDefault="00C377BF" w:rsidP="0073783D">
      <w:pPr>
        <w:pStyle w:val="Bezatstarpm"/>
        <w:spacing w:line="274" w:lineRule="auto"/>
        <w:ind w:right="420"/>
        <w:jc w:val="right"/>
        <w:rPr>
          <w:rFonts w:ascii="Times New Roman" w:hAnsi="Times New Roman" w:cs="Times New Roman"/>
          <w:sz w:val="24"/>
          <w:szCs w:val="24"/>
        </w:rPr>
      </w:pPr>
      <w:r w:rsidRPr="003F32ED">
        <w:rPr>
          <w:rFonts w:ascii="Times New Roman" w:hAnsi="Times New Roman" w:cs="Times New Roman"/>
          <w:sz w:val="24"/>
          <w:szCs w:val="24"/>
        </w:rPr>
        <w:t>Rīgā</w:t>
      </w:r>
      <w:r w:rsidRPr="003F32ED">
        <w:rPr>
          <w:rFonts w:ascii="Times New Roman" w:hAnsi="Times New Roman" w:cs="Times New Roman"/>
          <w:sz w:val="24"/>
          <w:szCs w:val="24"/>
        </w:rPr>
        <w:tab/>
      </w:r>
      <w:r w:rsidR="00C37444" w:rsidRPr="003F32ED">
        <w:rPr>
          <w:rFonts w:ascii="Times New Roman" w:hAnsi="Times New Roman" w:cs="Times New Roman"/>
          <w:sz w:val="24"/>
          <w:szCs w:val="24"/>
        </w:rPr>
        <w:tab/>
      </w:r>
      <w:r w:rsidR="00C37444" w:rsidRPr="003F32ED">
        <w:rPr>
          <w:rFonts w:ascii="Times New Roman" w:hAnsi="Times New Roman" w:cs="Times New Roman"/>
          <w:sz w:val="24"/>
          <w:szCs w:val="24"/>
        </w:rPr>
        <w:tab/>
      </w:r>
      <w:r w:rsidR="00C37444" w:rsidRPr="003F32ED">
        <w:rPr>
          <w:rFonts w:ascii="Times New Roman" w:hAnsi="Times New Roman" w:cs="Times New Roman"/>
          <w:sz w:val="24"/>
          <w:szCs w:val="24"/>
        </w:rPr>
        <w:tab/>
      </w:r>
      <w:r w:rsidR="00C37444" w:rsidRPr="003F32ED">
        <w:rPr>
          <w:rFonts w:ascii="Times New Roman" w:hAnsi="Times New Roman" w:cs="Times New Roman"/>
          <w:sz w:val="24"/>
          <w:szCs w:val="24"/>
        </w:rPr>
        <w:tab/>
      </w:r>
      <w:r w:rsidR="00C37444" w:rsidRPr="003F32ED">
        <w:rPr>
          <w:rFonts w:ascii="Times New Roman" w:hAnsi="Times New Roman" w:cs="Times New Roman"/>
          <w:sz w:val="24"/>
          <w:szCs w:val="24"/>
        </w:rPr>
        <w:tab/>
      </w:r>
      <w:r w:rsidR="00C37444" w:rsidRPr="003F32ED">
        <w:rPr>
          <w:rFonts w:ascii="Times New Roman" w:hAnsi="Times New Roman" w:cs="Times New Roman"/>
          <w:sz w:val="24"/>
          <w:szCs w:val="24"/>
        </w:rPr>
        <w:tab/>
      </w:r>
      <w:r w:rsidR="00C37444" w:rsidRPr="003F32ED">
        <w:rPr>
          <w:rFonts w:ascii="Times New Roman" w:hAnsi="Times New Roman" w:cs="Times New Roman"/>
          <w:sz w:val="24"/>
          <w:szCs w:val="24"/>
        </w:rPr>
        <w:tab/>
        <w:t xml:space="preserve"> </w:t>
      </w:r>
      <w:r w:rsidRPr="00206106">
        <w:rPr>
          <w:rFonts w:ascii="Times New Roman" w:hAnsi="Times New Roman" w:cs="Times New Roman"/>
          <w:sz w:val="24"/>
          <w:szCs w:val="24"/>
        </w:rPr>
        <w:t>202</w:t>
      </w:r>
      <w:r w:rsidR="00120B9F" w:rsidRPr="00206106">
        <w:rPr>
          <w:rFonts w:ascii="Times New Roman" w:hAnsi="Times New Roman" w:cs="Times New Roman"/>
          <w:sz w:val="24"/>
          <w:szCs w:val="24"/>
        </w:rPr>
        <w:t>6</w:t>
      </w:r>
      <w:r w:rsidRPr="00206106">
        <w:rPr>
          <w:rFonts w:ascii="Times New Roman" w:hAnsi="Times New Roman" w:cs="Times New Roman"/>
          <w:sz w:val="24"/>
          <w:szCs w:val="24"/>
        </w:rPr>
        <w:t xml:space="preserve">.gada </w:t>
      </w:r>
      <w:r w:rsidR="000F6271" w:rsidRPr="00206106">
        <w:rPr>
          <w:rFonts w:ascii="Times New Roman" w:hAnsi="Times New Roman" w:cs="Times New Roman"/>
          <w:sz w:val="24"/>
          <w:szCs w:val="24"/>
        </w:rPr>
        <w:t>13</w:t>
      </w:r>
      <w:r w:rsidRPr="00206106">
        <w:rPr>
          <w:rFonts w:ascii="Times New Roman" w:hAnsi="Times New Roman" w:cs="Times New Roman"/>
          <w:sz w:val="24"/>
          <w:szCs w:val="24"/>
        </w:rPr>
        <w:t>.</w:t>
      </w:r>
      <w:r w:rsidR="00120B9F" w:rsidRPr="00206106">
        <w:rPr>
          <w:rFonts w:ascii="Times New Roman" w:hAnsi="Times New Roman" w:cs="Times New Roman"/>
          <w:sz w:val="24"/>
          <w:szCs w:val="24"/>
        </w:rPr>
        <w:t>februārī</w:t>
      </w:r>
    </w:p>
    <w:p w14:paraId="615D9BEA" w14:textId="77777777" w:rsidR="00654C3F" w:rsidRPr="003F32ED" w:rsidRDefault="00654C3F" w:rsidP="0073783D">
      <w:pPr>
        <w:pStyle w:val="Bezatstarpm"/>
        <w:spacing w:line="274" w:lineRule="auto"/>
        <w:ind w:right="420"/>
        <w:jc w:val="both"/>
        <w:rPr>
          <w:rFonts w:ascii="Times New Roman" w:hAnsi="Times New Roman" w:cs="Times New Roman"/>
          <w:sz w:val="24"/>
          <w:szCs w:val="24"/>
        </w:rPr>
      </w:pPr>
    </w:p>
    <w:p w14:paraId="54D9D87E" w14:textId="77777777" w:rsidR="00754E4F" w:rsidRDefault="008F704A" w:rsidP="0073783D">
      <w:pPr>
        <w:pStyle w:val="Bezatstarpm"/>
        <w:spacing w:line="274" w:lineRule="auto"/>
        <w:ind w:right="420" w:firstLine="709"/>
        <w:jc w:val="both"/>
        <w:rPr>
          <w:rFonts w:ascii="Times New Roman" w:hAnsi="Times New Roman" w:cs="Times New Roman"/>
          <w:sz w:val="24"/>
          <w:szCs w:val="24"/>
        </w:rPr>
      </w:pPr>
      <w:r w:rsidRPr="003F32ED">
        <w:rPr>
          <w:rFonts w:ascii="Times New Roman" w:hAnsi="Times New Roman" w:cs="Times New Roman"/>
          <w:sz w:val="24"/>
          <w:szCs w:val="24"/>
        </w:rPr>
        <w:t>[1] </w:t>
      </w:r>
      <w:r w:rsidR="003878C9" w:rsidRPr="003F32ED">
        <w:rPr>
          <w:rFonts w:ascii="Times New Roman" w:hAnsi="Times New Roman" w:cs="Times New Roman"/>
          <w:sz w:val="24"/>
          <w:szCs w:val="24"/>
        </w:rPr>
        <w:t>P</w:t>
      </w:r>
      <w:r w:rsidR="00120B9F" w:rsidRPr="003F32ED">
        <w:rPr>
          <w:rFonts w:ascii="Times New Roman" w:hAnsi="Times New Roman" w:cs="Times New Roman"/>
          <w:sz w:val="24"/>
          <w:szCs w:val="24"/>
        </w:rPr>
        <w:t>lašsaziņas līdzekļos izskanēju</w:t>
      </w:r>
      <w:r w:rsidR="003878C9" w:rsidRPr="003F32ED">
        <w:rPr>
          <w:rFonts w:ascii="Times New Roman" w:hAnsi="Times New Roman" w:cs="Times New Roman"/>
          <w:sz w:val="24"/>
          <w:szCs w:val="24"/>
        </w:rPr>
        <w:t>si</w:t>
      </w:r>
      <w:r w:rsidR="00120B9F" w:rsidRPr="003F32ED">
        <w:rPr>
          <w:rFonts w:ascii="Times New Roman" w:hAnsi="Times New Roman" w:cs="Times New Roman"/>
          <w:sz w:val="24"/>
          <w:szCs w:val="24"/>
        </w:rPr>
        <w:t xml:space="preserve"> informācij</w:t>
      </w:r>
      <w:r w:rsidR="003878C9" w:rsidRPr="003F32ED">
        <w:rPr>
          <w:rFonts w:ascii="Times New Roman" w:hAnsi="Times New Roman" w:cs="Times New Roman"/>
          <w:sz w:val="24"/>
          <w:szCs w:val="24"/>
        </w:rPr>
        <w:t>a</w:t>
      </w:r>
      <w:r w:rsidR="00120B9F" w:rsidRPr="003F32ED">
        <w:rPr>
          <w:rFonts w:ascii="Times New Roman" w:hAnsi="Times New Roman" w:cs="Times New Roman"/>
          <w:sz w:val="24"/>
          <w:szCs w:val="24"/>
        </w:rPr>
        <w:t xml:space="preserve"> par noraidījuma pieteikšanu tiesnesim, to pamatojot ar lietas izskatīšanai nepiemērotiem apstākļiem</w:t>
      </w:r>
      <w:r w:rsidR="00825659">
        <w:rPr>
          <w:rFonts w:ascii="Times New Roman" w:hAnsi="Times New Roman" w:cs="Times New Roman"/>
          <w:sz w:val="24"/>
          <w:szCs w:val="24"/>
        </w:rPr>
        <w:t xml:space="preserve"> – lietas dalībnieku skaitam nepiemērotu tiesas zāles izmēru un tehnisko iekārtojumu.</w:t>
      </w:r>
    </w:p>
    <w:p w14:paraId="5A45CCDD" w14:textId="68AD1403" w:rsidR="005D08F1" w:rsidRDefault="00825659" w:rsidP="0073783D">
      <w:pPr>
        <w:pStyle w:val="Bezatstarpm"/>
        <w:spacing w:line="274" w:lineRule="auto"/>
        <w:ind w:right="420" w:firstLine="709"/>
        <w:jc w:val="both"/>
        <w:rPr>
          <w:rFonts w:ascii="Times New Roman" w:hAnsi="Times New Roman" w:cs="Times New Roman"/>
          <w:sz w:val="24"/>
          <w:szCs w:val="24"/>
        </w:rPr>
      </w:pPr>
      <w:r>
        <w:rPr>
          <w:rFonts w:ascii="Times New Roman" w:hAnsi="Times New Roman" w:cs="Times New Roman"/>
          <w:sz w:val="24"/>
          <w:szCs w:val="24"/>
        </w:rPr>
        <w:t xml:space="preserve">Plašsaziņas līdzekļos norādīts, ka tiesnese lietas dalībniekiem skaidrojusi iespējas nodrošināt lietas izskatīšanu citā tiesas zālē, kā arī norādījusi, ka </w:t>
      </w:r>
      <w:r w:rsidR="00754E4F">
        <w:rPr>
          <w:rFonts w:ascii="Times New Roman" w:hAnsi="Times New Roman" w:cs="Times New Roman"/>
          <w:sz w:val="24"/>
          <w:szCs w:val="24"/>
        </w:rPr>
        <w:t xml:space="preserve">gadījumā, ja advokāts vēlas lietas izskatīšanu citā tiesas ēkā, viņam jāpiesaka tiesnesei noraidījums. Tomēr pieteikto noraidījumu tiesnese nav pieņēmusi. </w:t>
      </w:r>
    </w:p>
    <w:p w14:paraId="73BF7F63" w14:textId="2C835D94" w:rsidR="00754E4F" w:rsidRDefault="00CA189D" w:rsidP="0073783D">
      <w:pPr>
        <w:pStyle w:val="Bezatstarpm"/>
        <w:spacing w:line="274" w:lineRule="auto"/>
        <w:ind w:right="420" w:firstLine="709"/>
        <w:jc w:val="both"/>
        <w:rPr>
          <w:rFonts w:ascii="Times New Roman" w:hAnsi="Times New Roman" w:cs="Times New Roman"/>
          <w:sz w:val="24"/>
          <w:szCs w:val="24"/>
        </w:rPr>
      </w:pPr>
      <w:r>
        <w:rPr>
          <w:rFonts w:ascii="Times New Roman" w:hAnsi="Times New Roman" w:cs="Times New Roman"/>
          <w:sz w:val="24"/>
          <w:szCs w:val="24"/>
        </w:rPr>
        <w:t xml:space="preserve">Savukārt tiesas priekšsēdētāja lēmumā par noraidījumu </w:t>
      </w:r>
      <w:r w:rsidR="0091514C">
        <w:rPr>
          <w:rFonts w:ascii="Times New Roman" w:hAnsi="Times New Roman" w:cs="Times New Roman"/>
          <w:sz w:val="24"/>
          <w:szCs w:val="24"/>
        </w:rPr>
        <w:t xml:space="preserve">ietverto pamatojumu novērtējusi kā divējādi saprotamu un tādu, kas </w:t>
      </w:r>
      <w:r w:rsidR="0091514C" w:rsidRPr="0091514C">
        <w:rPr>
          <w:rFonts w:ascii="Times New Roman" w:hAnsi="Times New Roman" w:cs="Times New Roman"/>
          <w:sz w:val="24"/>
          <w:szCs w:val="24"/>
        </w:rPr>
        <w:t>varētu radīt iespaidu, ka tiesnese daļēji jau ir paudusi savu attieksmi pret kādu no lietas dalībniekiem</w:t>
      </w:r>
      <w:r w:rsidR="0091514C">
        <w:rPr>
          <w:rFonts w:ascii="Times New Roman" w:hAnsi="Times New Roman" w:cs="Times New Roman"/>
          <w:sz w:val="24"/>
          <w:szCs w:val="24"/>
        </w:rPr>
        <w:t xml:space="preserve"> </w:t>
      </w:r>
      <w:r w:rsidR="0091514C" w:rsidRPr="005609D7">
        <w:rPr>
          <w:rFonts w:ascii="Times New Roman" w:hAnsi="Times New Roman" w:cs="Times New Roman"/>
          <w:i/>
          <w:iCs/>
          <w:sz w:val="24"/>
          <w:szCs w:val="24"/>
        </w:rPr>
        <w:t>(</w:t>
      </w:r>
      <w:r w:rsidR="005609D7" w:rsidRPr="005609D7">
        <w:rPr>
          <w:rFonts w:ascii="Times New Roman" w:hAnsi="Times New Roman" w:cs="Times New Roman"/>
          <w:i/>
          <w:iCs/>
          <w:sz w:val="24"/>
          <w:szCs w:val="24"/>
        </w:rPr>
        <w:t>/tīmekļa vietne/)</w:t>
      </w:r>
      <w:r w:rsidR="005609D7">
        <w:rPr>
          <w:rFonts w:ascii="Times New Roman" w:hAnsi="Times New Roman" w:cs="Times New Roman"/>
          <w:i/>
          <w:iCs/>
          <w:sz w:val="24"/>
          <w:szCs w:val="24"/>
        </w:rPr>
        <w:t>.</w:t>
      </w:r>
    </w:p>
    <w:p w14:paraId="060AC1CD" w14:textId="77777777" w:rsidR="00451BEE" w:rsidRDefault="00451BEE" w:rsidP="0073783D">
      <w:pPr>
        <w:pStyle w:val="Bezatstarpm"/>
        <w:spacing w:line="274" w:lineRule="auto"/>
        <w:ind w:right="420" w:firstLine="709"/>
        <w:jc w:val="both"/>
        <w:rPr>
          <w:rFonts w:ascii="Times New Roman" w:hAnsi="Times New Roman" w:cs="Times New Roman"/>
          <w:sz w:val="24"/>
          <w:szCs w:val="24"/>
        </w:rPr>
      </w:pPr>
    </w:p>
    <w:p w14:paraId="01B04666" w14:textId="4557FCC0" w:rsidR="003878C9" w:rsidRPr="003F32ED" w:rsidRDefault="00451BEE" w:rsidP="0073783D">
      <w:pPr>
        <w:pStyle w:val="Bezatstarpm"/>
        <w:spacing w:line="274" w:lineRule="auto"/>
        <w:ind w:right="420"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3878C9" w:rsidRPr="003F32ED">
        <w:rPr>
          <w:rFonts w:ascii="Times New Roman" w:hAnsi="Times New Roman" w:cs="Times New Roman"/>
          <w:sz w:val="24"/>
          <w:szCs w:val="24"/>
        </w:rPr>
        <w:t>Tiesnešu ētikas komisija, iepazinusies ar tiesne</w:t>
      </w:r>
      <w:r w:rsidR="006A52E1" w:rsidRPr="003F32ED">
        <w:rPr>
          <w:rFonts w:ascii="Times New Roman" w:hAnsi="Times New Roman" w:cs="Times New Roman"/>
          <w:sz w:val="24"/>
          <w:szCs w:val="24"/>
        </w:rPr>
        <w:t xml:space="preserve">ses </w:t>
      </w:r>
      <w:r w:rsidR="003878C9" w:rsidRPr="003F32ED">
        <w:rPr>
          <w:rFonts w:ascii="Times New Roman" w:hAnsi="Times New Roman" w:cs="Times New Roman"/>
          <w:sz w:val="24"/>
          <w:szCs w:val="24"/>
        </w:rPr>
        <w:t>lēmumu par noraidījuma nepieņemšanu, pamatojoties uz likuma „Par tiesu varu” 91.</w:t>
      </w:r>
      <w:r w:rsidR="003878C9" w:rsidRPr="003F32ED">
        <w:rPr>
          <w:rFonts w:ascii="Times New Roman" w:hAnsi="Times New Roman" w:cs="Times New Roman"/>
          <w:sz w:val="24"/>
          <w:szCs w:val="24"/>
          <w:vertAlign w:val="superscript"/>
        </w:rPr>
        <w:t>2</w:t>
      </w:r>
      <w:r w:rsidR="006A52E1" w:rsidRPr="003F32ED">
        <w:rPr>
          <w:rFonts w:ascii="Times New Roman" w:hAnsi="Times New Roman" w:cs="Times New Roman"/>
          <w:sz w:val="24"/>
          <w:szCs w:val="24"/>
          <w:vertAlign w:val="superscript"/>
        </w:rPr>
        <w:t xml:space="preserve"> </w:t>
      </w:r>
      <w:r w:rsidR="003878C9" w:rsidRPr="003F32ED">
        <w:rPr>
          <w:rFonts w:ascii="Times New Roman" w:hAnsi="Times New Roman" w:cs="Times New Roman"/>
          <w:sz w:val="24"/>
          <w:szCs w:val="24"/>
        </w:rPr>
        <w:t>panta 4.punktu un Tiesnešu ētikas komisijas reglamenta 24.4.apakšpunktu, atzina par nepieciešamu apspriest tiesneses iespējamo ētikas normu pārkāpumu pēc savas iniciatīvas.</w:t>
      </w:r>
    </w:p>
    <w:p w14:paraId="58A65CD1" w14:textId="77777777" w:rsidR="00120B9F" w:rsidRPr="003F32ED" w:rsidRDefault="00120B9F" w:rsidP="0073783D">
      <w:pPr>
        <w:pStyle w:val="Bezatstarpm"/>
        <w:spacing w:line="274" w:lineRule="auto"/>
        <w:ind w:right="420" w:firstLine="709"/>
        <w:jc w:val="both"/>
        <w:rPr>
          <w:rFonts w:ascii="Times New Roman" w:hAnsi="Times New Roman" w:cs="Times New Roman"/>
          <w:sz w:val="24"/>
          <w:szCs w:val="24"/>
        </w:rPr>
      </w:pPr>
    </w:p>
    <w:p w14:paraId="652B6082" w14:textId="1E264854" w:rsidR="00120B9F" w:rsidRPr="003F32ED" w:rsidRDefault="003878C9" w:rsidP="0073783D">
      <w:pPr>
        <w:pStyle w:val="Bezatstarpm"/>
        <w:spacing w:line="274" w:lineRule="auto"/>
        <w:ind w:right="420" w:firstLine="709"/>
        <w:jc w:val="both"/>
        <w:rPr>
          <w:rFonts w:ascii="Times New Roman" w:hAnsi="Times New Roman" w:cs="Times New Roman"/>
          <w:sz w:val="24"/>
          <w:szCs w:val="24"/>
        </w:rPr>
      </w:pPr>
      <w:r w:rsidRPr="003F32ED">
        <w:rPr>
          <w:rFonts w:ascii="Times New Roman" w:hAnsi="Times New Roman" w:cs="Times New Roman"/>
          <w:sz w:val="24"/>
          <w:szCs w:val="24"/>
        </w:rPr>
        <w:t>[</w:t>
      </w:r>
      <w:r w:rsidR="00451BEE">
        <w:rPr>
          <w:rFonts w:ascii="Times New Roman" w:hAnsi="Times New Roman" w:cs="Times New Roman"/>
          <w:sz w:val="24"/>
          <w:szCs w:val="24"/>
        </w:rPr>
        <w:t>3</w:t>
      </w:r>
      <w:r w:rsidRPr="003F32ED">
        <w:rPr>
          <w:rFonts w:ascii="Times New Roman" w:hAnsi="Times New Roman" w:cs="Times New Roman"/>
          <w:sz w:val="24"/>
          <w:szCs w:val="24"/>
        </w:rPr>
        <w:t xml:space="preserve">] </w:t>
      </w:r>
      <w:r w:rsidR="006A52E1" w:rsidRPr="003F32ED">
        <w:rPr>
          <w:rFonts w:ascii="Times New Roman" w:hAnsi="Times New Roman" w:cs="Times New Roman"/>
          <w:sz w:val="24"/>
          <w:szCs w:val="24"/>
        </w:rPr>
        <w:t xml:space="preserve">Tiesnese tika uzklausīta Tiesnešu ētikas komisijas 2026.gada 17.janvāra sēdē, kurā tiesnese paskaidroja, ka lēmumā </w:t>
      </w:r>
      <w:r w:rsidR="00E52676">
        <w:rPr>
          <w:rFonts w:ascii="Times New Roman" w:hAnsi="Times New Roman" w:cs="Times New Roman"/>
          <w:sz w:val="24"/>
          <w:szCs w:val="24"/>
        </w:rPr>
        <w:t xml:space="preserve">norādījusi noraidījuma nepieņemšanas pamatu. </w:t>
      </w:r>
      <w:r w:rsidR="00777EA3" w:rsidRPr="003F32ED">
        <w:rPr>
          <w:rFonts w:ascii="Times New Roman" w:hAnsi="Times New Roman" w:cs="Times New Roman"/>
          <w:sz w:val="24"/>
          <w:szCs w:val="24"/>
        </w:rPr>
        <w:t xml:space="preserve">Paskaidroja, ka situācija tiesas sēdē radīja emocionālu spriedzi. </w:t>
      </w:r>
      <w:r w:rsidR="006A52E1" w:rsidRPr="003F32ED">
        <w:rPr>
          <w:rFonts w:ascii="Times New Roman" w:hAnsi="Times New Roman" w:cs="Times New Roman"/>
          <w:sz w:val="24"/>
          <w:szCs w:val="24"/>
        </w:rPr>
        <w:t xml:space="preserve">Pieļāva, ka lēmuma pamatojumā </w:t>
      </w:r>
      <w:r w:rsidR="00777EA3" w:rsidRPr="003F32ED">
        <w:rPr>
          <w:rFonts w:ascii="Times New Roman" w:hAnsi="Times New Roman" w:cs="Times New Roman"/>
          <w:sz w:val="24"/>
          <w:szCs w:val="24"/>
        </w:rPr>
        <w:t xml:space="preserve">ir iekļāvusi arī </w:t>
      </w:r>
      <w:r w:rsidR="00E52676">
        <w:rPr>
          <w:rFonts w:ascii="Times New Roman" w:hAnsi="Times New Roman" w:cs="Times New Roman"/>
          <w:sz w:val="24"/>
          <w:szCs w:val="24"/>
        </w:rPr>
        <w:t xml:space="preserve">tādu </w:t>
      </w:r>
      <w:r w:rsidR="00777EA3" w:rsidRPr="003F32ED">
        <w:rPr>
          <w:rFonts w:ascii="Times New Roman" w:hAnsi="Times New Roman" w:cs="Times New Roman"/>
          <w:sz w:val="24"/>
          <w:szCs w:val="24"/>
        </w:rPr>
        <w:t xml:space="preserve">informāciju, kas neattiecas uz normatīvajos aktos noteikto noraidījuma pieteikšanas pamatu. </w:t>
      </w:r>
    </w:p>
    <w:p w14:paraId="2A1262EF" w14:textId="77777777" w:rsidR="00777EA3" w:rsidRPr="003F32ED" w:rsidRDefault="00777EA3" w:rsidP="0073783D">
      <w:pPr>
        <w:pStyle w:val="Bezatstarpm"/>
        <w:spacing w:line="274" w:lineRule="auto"/>
        <w:ind w:right="420" w:firstLine="709"/>
        <w:jc w:val="both"/>
        <w:rPr>
          <w:rFonts w:ascii="Times New Roman" w:hAnsi="Times New Roman" w:cs="Times New Roman"/>
          <w:sz w:val="24"/>
          <w:szCs w:val="24"/>
        </w:rPr>
      </w:pPr>
    </w:p>
    <w:p w14:paraId="6F1FBEE0" w14:textId="7546A45C" w:rsidR="00081B03" w:rsidRPr="003F32ED" w:rsidRDefault="00777EA3" w:rsidP="0073783D">
      <w:pPr>
        <w:pStyle w:val="Bezatstarpm"/>
        <w:spacing w:line="274" w:lineRule="auto"/>
        <w:ind w:right="420" w:firstLine="709"/>
        <w:jc w:val="both"/>
        <w:rPr>
          <w:rFonts w:ascii="Times New Roman" w:hAnsi="Times New Roman" w:cs="Times New Roman"/>
          <w:sz w:val="24"/>
          <w:szCs w:val="24"/>
        </w:rPr>
      </w:pPr>
      <w:r w:rsidRPr="003F32ED">
        <w:rPr>
          <w:rFonts w:ascii="Times New Roman" w:hAnsi="Times New Roman" w:cs="Times New Roman"/>
          <w:sz w:val="24"/>
          <w:szCs w:val="24"/>
        </w:rPr>
        <w:t>[</w:t>
      </w:r>
      <w:r w:rsidR="00451BEE">
        <w:rPr>
          <w:rFonts w:ascii="Times New Roman" w:hAnsi="Times New Roman" w:cs="Times New Roman"/>
          <w:sz w:val="24"/>
          <w:szCs w:val="24"/>
        </w:rPr>
        <w:t>4</w:t>
      </w:r>
      <w:r w:rsidRPr="003F32ED">
        <w:rPr>
          <w:rFonts w:ascii="Times New Roman" w:hAnsi="Times New Roman" w:cs="Times New Roman"/>
          <w:sz w:val="24"/>
          <w:szCs w:val="24"/>
        </w:rPr>
        <w:t xml:space="preserve">] Tiesnešu ētikas kodeksā nostiprināts gan tiesnešu neatkarības un objektivitātes princips, gan godprātības un cieņas princips. </w:t>
      </w:r>
      <w:r w:rsidR="00081B03" w:rsidRPr="003F32ED">
        <w:rPr>
          <w:rFonts w:ascii="Times New Roman" w:hAnsi="Times New Roman" w:cs="Times New Roman"/>
          <w:sz w:val="24"/>
          <w:szCs w:val="24"/>
        </w:rPr>
        <w:t xml:space="preserve">Tiesnesis ar savu stāju apliecina un veicina augstus tiesneša ētikas standartus, lai stiprinātu sabiedrības uzticēšanos tiesu varai (1.kanona 5.punkts). </w:t>
      </w:r>
    </w:p>
    <w:p w14:paraId="41256234" w14:textId="055A1D6C" w:rsidR="00120B9F" w:rsidRPr="003F32ED" w:rsidRDefault="00835551" w:rsidP="0073783D">
      <w:pPr>
        <w:pStyle w:val="Bezatstarpm"/>
        <w:spacing w:line="274" w:lineRule="auto"/>
        <w:ind w:right="420" w:firstLine="709"/>
        <w:jc w:val="both"/>
        <w:rPr>
          <w:rFonts w:ascii="Times New Roman" w:hAnsi="Times New Roman" w:cs="Times New Roman"/>
          <w:sz w:val="24"/>
          <w:szCs w:val="24"/>
        </w:rPr>
      </w:pPr>
      <w:r w:rsidRPr="003F32ED">
        <w:rPr>
          <w:rFonts w:ascii="Times New Roman" w:hAnsi="Times New Roman" w:cs="Times New Roman"/>
          <w:sz w:val="24"/>
          <w:szCs w:val="24"/>
        </w:rPr>
        <w:t>Tiesnesis ciena un ievēro likumu, godprātīgi un ar cieņu attiecas pret savu amatu, amata pienākumiem, procesa dalībniekiem, kolēģiem un sabiedrību kopumā (2.kanona 1.punkts); Tiesnesis, gan veicot amata pienākumus, gan darbojoties ārpus tiem, rīkojas tā, lai veicinātu sabiedrības uzticēšanos tiesu varai (2.kanona 2.punkts). Tiesnesis nodrošina, lai viņa rīcība saprātīga, informēta un no aizspriedumiem brīva vērotāja ieskatā ir saprotama (2.kanona 3.punkts).</w:t>
      </w:r>
    </w:p>
    <w:p w14:paraId="6CAA0284" w14:textId="022260DF" w:rsidR="005D08F1" w:rsidRPr="003F32ED" w:rsidRDefault="000D4892" w:rsidP="0073783D">
      <w:pPr>
        <w:pStyle w:val="Bezatstarpm"/>
        <w:spacing w:line="274" w:lineRule="auto"/>
        <w:ind w:right="420" w:firstLine="709"/>
        <w:jc w:val="both"/>
        <w:rPr>
          <w:rFonts w:ascii="Times New Roman" w:hAnsi="Times New Roman" w:cs="Times New Roman"/>
          <w:sz w:val="24"/>
          <w:szCs w:val="24"/>
        </w:rPr>
      </w:pPr>
      <w:r w:rsidRPr="003F32ED">
        <w:rPr>
          <w:rFonts w:ascii="Times New Roman" w:hAnsi="Times New Roman" w:cs="Times New Roman"/>
          <w:sz w:val="24"/>
          <w:szCs w:val="24"/>
        </w:rPr>
        <w:t>Tiesības uz taisnīgu tiesu ietver tiesības arī uz tiesas objektivitāti. Objektivitātes princips atklāts Tiesnešu ētikas kodeksa 3.kanonā. Tiesnesim jāizvairās no vārdiem un runas, žestiem vai citas darbības, kuru varētu uztvert kā neobjektivitāti vai aizspriedumu izpausmi (</w:t>
      </w:r>
      <w:r w:rsidR="00BD4574">
        <w:rPr>
          <w:rFonts w:ascii="Times New Roman" w:hAnsi="Times New Roman" w:cs="Times New Roman"/>
          <w:sz w:val="24"/>
          <w:szCs w:val="24"/>
        </w:rPr>
        <w:t xml:space="preserve">3.kanona </w:t>
      </w:r>
      <w:r w:rsidRPr="003F32ED">
        <w:rPr>
          <w:rFonts w:ascii="Times New Roman" w:hAnsi="Times New Roman" w:cs="Times New Roman"/>
          <w:sz w:val="24"/>
          <w:szCs w:val="24"/>
        </w:rPr>
        <w:t xml:space="preserve">2.punkts). </w:t>
      </w:r>
    </w:p>
    <w:p w14:paraId="6407B296" w14:textId="3127D20B" w:rsidR="000D4892" w:rsidRPr="003F32ED" w:rsidRDefault="000D4892" w:rsidP="0073783D">
      <w:pPr>
        <w:pStyle w:val="Bezatstarpm"/>
        <w:spacing w:line="274" w:lineRule="auto"/>
        <w:ind w:right="420" w:firstLine="709"/>
        <w:jc w:val="both"/>
        <w:rPr>
          <w:rFonts w:ascii="Times New Roman" w:hAnsi="Times New Roman" w:cs="Times New Roman"/>
          <w:sz w:val="24"/>
          <w:szCs w:val="24"/>
        </w:rPr>
      </w:pPr>
      <w:r w:rsidRPr="003F32ED">
        <w:rPr>
          <w:rFonts w:ascii="Times New Roman" w:hAnsi="Times New Roman" w:cs="Times New Roman"/>
          <w:sz w:val="24"/>
          <w:szCs w:val="24"/>
        </w:rPr>
        <w:t xml:space="preserve">Tiesnešu ētikas komisija vairākkārt ir uzsvērusi, ka tiesneša uzvedības standarti nav pašmērķīgi. Tie kalpo ne tikai tam, lai apliecinātu tiesu varas autoritāti, bet arī lai radītu pārliecību, ka tiesa ir profesionāla, neatkarīga un objektīva un ka tiesas procesa laikā ir </w:t>
      </w:r>
      <w:r w:rsidRPr="003F32ED">
        <w:rPr>
          <w:rFonts w:ascii="Times New Roman" w:hAnsi="Times New Roman" w:cs="Times New Roman"/>
          <w:sz w:val="24"/>
          <w:szCs w:val="24"/>
        </w:rPr>
        <w:lastRenderedPageBreak/>
        <w:t>iespējams panākt taisnīgu tiesu. Tādējādi tiesneša uzvedībai tiesas procesa laikā</w:t>
      </w:r>
      <w:r w:rsidR="00680DF0" w:rsidRPr="003F32ED">
        <w:rPr>
          <w:rFonts w:ascii="Times New Roman" w:hAnsi="Times New Roman" w:cs="Times New Roman"/>
          <w:sz w:val="24"/>
          <w:szCs w:val="24"/>
        </w:rPr>
        <w:t>, kas aptver arī tiesas procesa laikā pieņemtos nolēmumus,</w:t>
      </w:r>
      <w:r w:rsidRPr="003F32ED">
        <w:rPr>
          <w:rFonts w:ascii="Times New Roman" w:hAnsi="Times New Roman" w:cs="Times New Roman"/>
          <w:sz w:val="24"/>
          <w:szCs w:val="24"/>
        </w:rPr>
        <w:t xml:space="preserve"> ir ļoti liela nozīme. Tiesnešu ētikas komisija iepriekš ir arī skaidrojusi, ka katra tiesneša uzvedība atstāj iespaidu uz sabiedrības viedokli par tiesu varu un sekmē vai grauj tiesu varas autoritāti. Šādā situācijā persona uzlūko konkrēto tiesnesi kā visu tiesu varu pārstāvošu un asociē pret sevi vērsto rīcību ar tiesu varas attieksmi kopumā, tādējādi katra tiesneša rīcība ietekmē tiesu varas autoritāti (</w:t>
      </w:r>
      <w:r w:rsidRPr="003F32ED">
        <w:rPr>
          <w:rFonts w:ascii="Times New Roman" w:hAnsi="Times New Roman" w:cs="Times New Roman"/>
          <w:i/>
          <w:iCs/>
          <w:sz w:val="24"/>
          <w:szCs w:val="24"/>
        </w:rPr>
        <w:t>Sk. Tiesnešu ētikas komisijas 2020.gada 13.novembra atzinumu, 2021.gada 16.novembra atzinumu</w:t>
      </w:r>
      <w:r w:rsidRPr="003F32ED">
        <w:rPr>
          <w:rFonts w:ascii="Times New Roman" w:hAnsi="Times New Roman" w:cs="Times New Roman"/>
          <w:sz w:val="24"/>
          <w:szCs w:val="24"/>
        </w:rPr>
        <w:t>).</w:t>
      </w:r>
    </w:p>
    <w:p w14:paraId="14E5410B" w14:textId="1ED5D38C" w:rsidR="00853D68" w:rsidRPr="003F32ED" w:rsidRDefault="00853D68" w:rsidP="0073783D">
      <w:pPr>
        <w:pStyle w:val="Bezatstarpm"/>
        <w:spacing w:line="274" w:lineRule="auto"/>
        <w:ind w:right="420" w:firstLine="709"/>
        <w:jc w:val="both"/>
        <w:rPr>
          <w:rFonts w:ascii="Times New Roman" w:hAnsi="Times New Roman" w:cs="Times New Roman"/>
          <w:sz w:val="24"/>
          <w:szCs w:val="24"/>
        </w:rPr>
      </w:pPr>
      <w:r w:rsidRPr="003F32ED">
        <w:rPr>
          <w:rFonts w:ascii="Times New Roman" w:hAnsi="Times New Roman" w:cs="Times New Roman"/>
          <w:sz w:val="24"/>
          <w:szCs w:val="24"/>
        </w:rPr>
        <w:t>Tāpat Tiesnešu ētikas komisija iepriekš atzinusi, ka tiesības uz taisnīgu tiesu ietver arī cilvēka cieņas principu, tas citstarp nozīmē tiesneša pienākumu pret lietas dalībniekiem izturēties cieņpilni un nodrošināt arī cieņpilnas attiecības starp lietas dalībniekiem (</w:t>
      </w:r>
      <w:r w:rsidRPr="003F32ED">
        <w:rPr>
          <w:rFonts w:ascii="Times New Roman" w:hAnsi="Times New Roman" w:cs="Times New Roman"/>
          <w:i/>
          <w:iCs/>
          <w:sz w:val="24"/>
          <w:szCs w:val="24"/>
        </w:rPr>
        <w:t>sk. Tiesnešu ētikas komisijas 2021.gada 16.novembra atzinumu</w:t>
      </w:r>
      <w:r w:rsidRPr="003F32ED">
        <w:rPr>
          <w:rFonts w:ascii="Times New Roman" w:hAnsi="Times New Roman" w:cs="Times New Roman"/>
          <w:sz w:val="24"/>
          <w:szCs w:val="24"/>
        </w:rPr>
        <w:t xml:space="preserve">). </w:t>
      </w:r>
    </w:p>
    <w:p w14:paraId="731E3F5D" w14:textId="77777777" w:rsidR="00835551" w:rsidRPr="003F32ED" w:rsidRDefault="00835551" w:rsidP="0073783D">
      <w:pPr>
        <w:pStyle w:val="Bezatstarpm"/>
        <w:spacing w:line="274" w:lineRule="auto"/>
        <w:ind w:right="420" w:firstLine="709"/>
        <w:jc w:val="both"/>
        <w:rPr>
          <w:rFonts w:ascii="Times New Roman" w:hAnsi="Times New Roman" w:cs="Times New Roman"/>
          <w:sz w:val="24"/>
          <w:szCs w:val="24"/>
        </w:rPr>
      </w:pPr>
    </w:p>
    <w:p w14:paraId="38983A20" w14:textId="4D0C7212" w:rsidR="009229A3" w:rsidRDefault="00115872" w:rsidP="0073783D">
      <w:pPr>
        <w:pStyle w:val="Bezatstarpm"/>
        <w:spacing w:line="274" w:lineRule="auto"/>
        <w:ind w:right="420" w:firstLine="709"/>
        <w:jc w:val="both"/>
        <w:rPr>
          <w:rFonts w:ascii="Times New Roman" w:hAnsi="Times New Roman" w:cs="Times New Roman"/>
          <w:sz w:val="24"/>
          <w:szCs w:val="24"/>
        </w:rPr>
      </w:pPr>
      <w:r w:rsidRPr="003F32ED">
        <w:rPr>
          <w:rFonts w:ascii="Times New Roman" w:hAnsi="Times New Roman" w:cs="Times New Roman"/>
          <w:sz w:val="24"/>
          <w:szCs w:val="24"/>
        </w:rPr>
        <w:t>[</w:t>
      </w:r>
      <w:r w:rsidR="00451BEE">
        <w:rPr>
          <w:rFonts w:ascii="Times New Roman" w:hAnsi="Times New Roman" w:cs="Times New Roman"/>
          <w:sz w:val="24"/>
          <w:szCs w:val="24"/>
        </w:rPr>
        <w:t>5</w:t>
      </w:r>
      <w:r w:rsidRPr="003F32ED">
        <w:rPr>
          <w:rFonts w:ascii="Times New Roman" w:hAnsi="Times New Roman" w:cs="Times New Roman"/>
          <w:sz w:val="24"/>
          <w:szCs w:val="24"/>
        </w:rPr>
        <w:t xml:space="preserve">] </w:t>
      </w:r>
      <w:r w:rsidR="009229A3" w:rsidRPr="009229A3">
        <w:rPr>
          <w:rFonts w:ascii="Times New Roman" w:hAnsi="Times New Roman" w:cs="Times New Roman"/>
          <w:sz w:val="24"/>
          <w:szCs w:val="24"/>
        </w:rPr>
        <w:t>Tiesnešu ētikas komisija, novērtējot lēmumā ietverto profesionālās leksikas lietojumu, kas piedien objektīvam un neitrālam lēmuma tekstam, konstatēja, ka lēmumā lietotais saturs neatbilst cieņpilnai un neitrālai attieksmei.</w:t>
      </w:r>
    </w:p>
    <w:p w14:paraId="700F07BA" w14:textId="0D79FC24" w:rsidR="009229A3" w:rsidRDefault="009229A3" w:rsidP="0073783D">
      <w:pPr>
        <w:pStyle w:val="Bezatstarpm"/>
        <w:spacing w:line="274" w:lineRule="auto"/>
        <w:ind w:right="420" w:firstLine="709"/>
        <w:jc w:val="both"/>
        <w:rPr>
          <w:rFonts w:ascii="Times New Roman" w:hAnsi="Times New Roman" w:cs="Times New Roman"/>
          <w:sz w:val="24"/>
          <w:szCs w:val="24"/>
        </w:rPr>
      </w:pPr>
      <w:r w:rsidRPr="009229A3">
        <w:rPr>
          <w:rFonts w:ascii="Times New Roman" w:hAnsi="Times New Roman" w:cs="Times New Roman"/>
          <w:sz w:val="24"/>
          <w:szCs w:val="24"/>
        </w:rPr>
        <w:t>Vērtējot lietas dalībniekus, tiesnese lietojusi izteikumu “Šīs personas (saprotams, ka runa ir par prokuroru un sešiem advokātiem) ir pilngadīgas un saprātīgas”, “[..] tiesas process nav izklaides pasākums, diemžēl advokātiem savas pozīcijas lietā ir jāsagatavo savlaicīgi [..], “[..] kā saprātīgiem pieaugušiem cilvēkiem jāpacenšas vienoties ar kolēģi samainīties ar ātrāk vietu ieņēmušo kolēģi [..]”.</w:t>
      </w:r>
    </w:p>
    <w:p w14:paraId="75D26993" w14:textId="04E2037F" w:rsidR="002A652A" w:rsidRPr="003F32ED" w:rsidRDefault="002A652A" w:rsidP="0073783D">
      <w:pPr>
        <w:pStyle w:val="Bezatstarpm"/>
        <w:spacing w:line="274" w:lineRule="auto"/>
        <w:ind w:right="420" w:firstLine="709"/>
        <w:jc w:val="both"/>
        <w:rPr>
          <w:rFonts w:ascii="Times New Roman" w:hAnsi="Times New Roman" w:cs="Times New Roman"/>
          <w:sz w:val="24"/>
          <w:szCs w:val="24"/>
        </w:rPr>
      </w:pPr>
      <w:r w:rsidRPr="003F32ED">
        <w:rPr>
          <w:rFonts w:ascii="Times New Roman" w:hAnsi="Times New Roman" w:cs="Times New Roman"/>
          <w:sz w:val="24"/>
          <w:szCs w:val="24"/>
        </w:rPr>
        <w:t xml:space="preserve">Tāpat lēmumā lietoti izteikumi “Tik ļoti bērnišķīgai un sakāpinātai traģēdijai ir citi iemesli, kas netika nosaukti”, “Tas bijis tikai neveiksmīgs mēģinājums provocēt tiesnesi ar necieņas izrādīšanu”, kā arī “Argumenti par tiesas ieinteresētību [..] ir acīm redzami izdomāti un pievilkti pie it kā izdevīgas situācijas un šķietami </w:t>
      </w:r>
      <w:r w:rsidR="0034765A" w:rsidRPr="003F32ED">
        <w:rPr>
          <w:rFonts w:ascii="Times New Roman" w:hAnsi="Times New Roman" w:cs="Times New Roman"/>
          <w:sz w:val="24"/>
          <w:szCs w:val="24"/>
        </w:rPr>
        <w:t xml:space="preserve">uzdodot par esošo jau ar tikai dalībniekiem zināmiem nolūkiem”. </w:t>
      </w:r>
    </w:p>
    <w:p w14:paraId="06A59FF8" w14:textId="65724A48" w:rsidR="00115872" w:rsidRPr="003F32ED" w:rsidRDefault="00CD7F87" w:rsidP="0073783D">
      <w:pPr>
        <w:pStyle w:val="Bezatstarpm"/>
        <w:spacing w:line="274" w:lineRule="auto"/>
        <w:ind w:right="420" w:firstLine="709"/>
        <w:jc w:val="both"/>
        <w:rPr>
          <w:rFonts w:ascii="Times New Roman" w:hAnsi="Times New Roman" w:cs="Times New Roman"/>
          <w:sz w:val="24"/>
          <w:szCs w:val="24"/>
        </w:rPr>
      </w:pPr>
      <w:r w:rsidRPr="003F32ED">
        <w:rPr>
          <w:rFonts w:ascii="Times New Roman" w:hAnsi="Times New Roman" w:cs="Times New Roman"/>
          <w:i/>
          <w:iCs/>
          <w:sz w:val="24"/>
          <w:szCs w:val="24"/>
        </w:rPr>
        <w:t>Ad hominem</w:t>
      </w:r>
      <w:r w:rsidRPr="003F32ED">
        <w:rPr>
          <w:rFonts w:ascii="Times New Roman" w:hAnsi="Times New Roman" w:cs="Times New Roman"/>
          <w:sz w:val="24"/>
          <w:szCs w:val="24"/>
        </w:rPr>
        <w:t xml:space="preserve"> argumentu lietošana ir tāda diskusiju stratēģija, kad diskusijas dalībnieks nevis atspēko izteikto argumentu pēc būtības, bet gan tā vietā uzbrūk argumentu izteikušās personas raksturam, motīviem vai citām īpašībām.</w:t>
      </w:r>
    </w:p>
    <w:p w14:paraId="1E3E9964" w14:textId="01F2EEA8" w:rsidR="0034765A" w:rsidRPr="003F32ED" w:rsidRDefault="0034765A" w:rsidP="0073783D">
      <w:pPr>
        <w:pStyle w:val="Bezatstarpm"/>
        <w:spacing w:line="274" w:lineRule="auto"/>
        <w:ind w:right="420" w:firstLine="709"/>
        <w:jc w:val="both"/>
        <w:rPr>
          <w:rFonts w:ascii="Times New Roman" w:hAnsi="Times New Roman" w:cs="Times New Roman"/>
          <w:sz w:val="24"/>
          <w:szCs w:val="24"/>
        </w:rPr>
      </w:pPr>
      <w:r w:rsidRPr="003F32ED">
        <w:rPr>
          <w:rFonts w:ascii="Times New Roman" w:hAnsi="Times New Roman" w:cs="Times New Roman"/>
          <w:sz w:val="24"/>
          <w:szCs w:val="24"/>
        </w:rPr>
        <w:t xml:space="preserve">Tiesnešu ētikas komisijas 2018.gada 12.janvāra skaidrojumā norādīts, ka tiesnesis nedrīkst diskusijā izmantot </w:t>
      </w:r>
      <w:r w:rsidRPr="003F32ED">
        <w:rPr>
          <w:rFonts w:ascii="Times New Roman" w:hAnsi="Times New Roman" w:cs="Times New Roman"/>
          <w:i/>
          <w:iCs/>
          <w:sz w:val="24"/>
          <w:szCs w:val="24"/>
        </w:rPr>
        <w:t>ad hominem</w:t>
      </w:r>
      <w:r w:rsidRPr="003F32ED">
        <w:rPr>
          <w:rFonts w:ascii="Times New Roman" w:hAnsi="Times New Roman" w:cs="Times New Roman"/>
          <w:sz w:val="24"/>
          <w:szCs w:val="24"/>
        </w:rPr>
        <w:t xml:space="preserve"> argumentus. </w:t>
      </w:r>
      <w:r w:rsidR="000E2335" w:rsidRPr="003F32ED">
        <w:rPr>
          <w:rFonts w:ascii="Times New Roman" w:hAnsi="Times New Roman" w:cs="Times New Roman"/>
          <w:sz w:val="24"/>
          <w:szCs w:val="24"/>
        </w:rPr>
        <w:t xml:space="preserve">Minētā atziņa attiecināma ne tikai uz diskusiju, bet arī tiesas nolēmuma pamatošanu. </w:t>
      </w:r>
    </w:p>
    <w:p w14:paraId="4039252E" w14:textId="51B1ED16" w:rsidR="0034765A" w:rsidRPr="003F32ED" w:rsidRDefault="0034765A" w:rsidP="0073783D">
      <w:pPr>
        <w:pStyle w:val="Bezatstarpm"/>
        <w:spacing w:line="274" w:lineRule="auto"/>
        <w:ind w:right="420" w:firstLine="709"/>
        <w:jc w:val="both"/>
        <w:rPr>
          <w:rFonts w:ascii="Times New Roman" w:hAnsi="Times New Roman" w:cs="Times New Roman"/>
          <w:sz w:val="24"/>
          <w:szCs w:val="24"/>
        </w:rPr>
      </w:pPr>
      <w:r w:rsidRPr="003F32ED">
        <w:rPr>
          <w:rFonts w:ascii="Times New Roman" w:hAnsi="Times New Roman" w:cs="Times New Roman"/>
          <w:sz w:val="24"/>
          <w:szCs w:val="24"/>
        </w:rPr>
        <w:t xml:space="preserve">Novērtējot tiesneses lēmumu, Tiesnešu ētikas komisija atzīst, ka tajā ir izmantoti </w:t>
      </w:r>
      <w:r w:rsidRPr="003F32ED">
        <w:rPr>
          <w:rFonts w:ascii="Times New Roman" w:hAnsi="Times New Roman" w:cs="Times New Roman"/>
          <w:i/>
          <w:iCs/>
          <w:sz w:val="24"/>
          <w:szCs w:val="24"/>
        </w:rPr>
        <w:t>ad hominem</w:t>
      </w:r>
      <w:r w:rsidRPr="003F32ED">
        <w:rPr>
          <w:rFonts w:ascii="Times New Roman" w:hAnsi="Times New Roman" w:cs="Times New Roman"/>
          <w:sz w:val="24"/>
          <w:szCs w:val="24"/>
        </w:rPr>
        <w:t xml:space="preserve"> argumenti.</w:t>
      </w:r>
    </w:p>
    <w:p w14:paraId="2D16D64E" w14:textId="625D1B6E" w:rsidR="0034765A" w:rsidRDefault="0034765A" w:rsidP="0073783D">
      <w:pPr>
        <w:pStyle w:val="Bezatstarpm"/>
        <w:spacing w:line="274" w:lineRule="auto"/>
        <w:ind w:right="420" w:firstLine="709"/>
        <w:jc w:val="both"/>
        <w:rPr>
          <w:rFonts w:ascii="Times New Roman" w:hAnsi="Times New Roman" w:cs="Times New Roman"/>
          <w:sz w:val="24"/>
          <w:szCs w:val="24"/>
        </w:rPr>
      </w:pPr>
      <w:r w:rsidRPr="003F32ED">
        <w:rPr>
          <w:rFonts w:ascii="Times New Roman" w:hAnsi="Times New Roman" w:cs="Times New Roman"/>
          <w:sz w:val="24"/>
          <w:szCs w:val="24"/>
        </w:rPr>
        <w:t xml:space="preserve">Tiesnese ir atsaukusies uz lietas dalībnieku “pilngadību un saprātīgumu”, kā arī radušos situāciju vērtējusi kā “bērnišķīgu”, kas liek izdarīt secinājumu, ka tiesnese vērtējusi </w:t>
      </w:r>
      <w:r w:rsidR="000E2335" w:rsidRPr="003F32ED">
        <w:rPr>
          <w:rFonts w:ascii="Times New Roman" w:hAnsi="Times New Roman" w:cs="Times New Roman"/>
          <w:sz w:val="24"/>
          <w:szCs w:val="24"/>
        </w:rPr>
        <w:t xml:space="preserve">lietas dalībnieku personīgās īpašības un rīcības motīvus. </w:t>
      </w:r>
    </w:p>
    <w:p w14:paraId="26B37229" w14:textId="1057AE08" w:rsidR="00E52676" w:rsidRDefault="00E52676" w:rsidP="0073783D">
      <w:pPr>
        <w:pStyle w:val="Bezatstarpm"/>
        <w:spacing w:line="274" w:lineRule="auto"/>
        <w:ind w:right="420" w:firstLine="709"/>
        <w:jc w:val="both"/>
        <w:rPr>
          <w:rFonts w:ascii="Times New Roman" w:hAnsi="Times New Roman" w:cs="Times New Roman"/>
          <w:sz w:val="24"/>
          <w:szCs w:val="24"/>
        </w:rPr>
      </w:pPr>
      <w:r>
        <w:rPr>
          <w:rFonts w:ascii="Times New Roman" w:hAnsi="Times New Roman" w:cs="Times New Roman"/>
          <w:sz w:val="24"/>
          <w:szCs w:val="24"/>
        </w:rPr>
        <w:t xml:space="preserve">Tāpat ar lēmumā lietotajiem izteikumiem </w:t>
      </w:r>
      <w:r w:rsidRPr="00E52676">
        <w:rPr>
          <w:rFonts w:ascii="Times New Roman" w:hAnsi="Times New Roman" w:cs="Times New Roman"/>
          <w:sz w:val="24"/>
          <w:szCs w:val="24"/>
        </w:rPr>
        <w:t>tiesnese ļauj nojaust, ka viņai ir zināmi kādi citi lietas dalībnieku rīcības motīvi, bet izskatāmajā gadījumā tiesnese lēmumā nav konkretizējusi, kas viņas ieskatā ir “citi iemesli, kas netika nosaukti”.</w:t>
      </w:r>
    </w:p>
    <w:p w14:paraId="66E210D8" w14:textId="37978034" w:rsidR="000F6271" w:rsidRDefault="000F6271" w:rsidP="0073783D">
      <w:pPr>
        <w:pStyle w:val="Bezatstarpm"/>
        <w:spacing w:line="274" w:lineRule="auto"/>
        <w:ind w:right="420" w:firstLine="709"/>
        <w:jc w:val="both"/>
        <w:rPr>
          <w:rFonts w:ascii="Times New Roman" w:hAnsi="Times New Roman" w:cs="Times New Roman"/>
          <w:sz w:val="24"/>
          <w:szCs w:val="24"/>
        </w:rPr>
      </w:pPr>
      <w:r w:rsidRPr="000F6271">
        <w:rPr>
          <w:rFonts w:ascii="Times New Roman" w:hAnsi="Times New Roman" w:cs="Times New Roman"/>
          <w:sz w:val="24"/>
          <w:szCs w:val="24"/>
        </w:rPr>
        <w:t xml:space="preserve">Tā kā lēmumā lietotas vien vispārīgas norādes uz tiesnesei zināmiem noraidījuma pieteikšanas iemesliem, tos nekonkretizējot, atzīstams, ka tiesnese lēmumā izteikusi neargumentētu un subjektīvu viedokli. Kopējais izteiksmes veids lēmumā var radīt priekšstatu, ka tiesnesei ir šaubas par lietas dalībnieku godprātību. Savukārt neargumentēta šaubu izteikšana par lietas dalībnieka rīcības neatbilstību godprātības principam Tiesnešu </w:t>
      </w:r>
      <w:r w:rsidRPr="000F6271">
        <w:rPr>
          <w:rFonts w:ascii="Times New Roman" w:hAnsi="Times New Roman" w:cs="Times New Roman"/>
          <w:sz w:val="24"/>
          <w:szCs w:val="24"/>
        </w:rPr>
        <w:lastRenderedPageBreak/>
        <w:t>ētikas komisijas ieskatā nav cieņpilna attieksme pret lietas dalībnieku, kā arī rada šaubas par tiesneša neitrālu attieksmi. Izsakot vispārīgas frāzes, ko var vērtēt kā lietas dalībnieku godprātības apšaubīšanu, tiesnese nav veicinājusi uzticību tiesu varai. Vērā ņemams, ka norādītās frāzes izteiktas par tiesu sistēmai piederīgām personām.</w:t>
      </w:r>
    </w:p>
    <w:p w14:paraId="67C9097D" w14:textId="5D4824B2" w:rsidR="006801A7" w:rsidRDefault="00FF3B6F" w:rsidP="0073783D">
      <w:pPr>
        <w:pStyle w:val="Bezatstarpm"/>
        <w:spacing w:line="274" w:lineRule="auto"/>
        <w:ind w:right="420" w:firstLine="709"/>
        <w:jc w:val="both"/>
        <w:rPr>
          <w:rFonts w:ascii="Times New Roman" w:hAnsi="Times New Roman" w:cs="Times New Roman"/>
          <w:sz w:val="24"/>
          <w:szCs w:val="24"/>
        </w:rPr>
      </w:pPr>
      <w:r>
        <w:rPr>
          <w:rFonts w:ascii="Times New Roman" w:hAnsi="Times New Roman" w:cs="Times New Roman"/>
          <w:sz w:val="24"/>
          <w:szCs w:val="24"/>
        </w:rPr>
        <w:t>Bez tam</w:t>
      </w:r>
      <w:r w:rsidR="008765D8" w:rsidRPr="008765D8">
        <w:rPr>
          <w:rFonts w:ascii="Times New Roman" w:hAnsi="Times New Roman" w:cs="Times New Roman"/>
          <w:sz w:val="24"/>
          <w:szCs w:val="24"/>
        </w:rPr>
        <w:t xml:space="preserve"> lietā konstatēts, ka 2025.gada 9.septembra tiesas sēdē</w:t>
      </w:r>
      <w:r w:rsidR="008765D8">
        <w:rPr>
          <w:rFonts w:ascii="Times New Roman" w:hAnsi="Times New Roman" w:cs="Times New Roman"/>
          <w:sz w:val="24"/>
          <w:szCs w:val="24"/>
        </w:rPr>
        <w:t xml:space="preserve"> pati tiesnese norādījusi, ka lietas izskatīšanas citā tiesas ēkā panākšanai </w:t>
      </w:r>
      <w:r>
        <w:rPr>
          <w:rFonts w:ascii="Times New Roman" w:hAnsi="Times New Roman" w:cs="Times New Roman"/>
          <w:sz w:val="24"/>
          <w:szCs w:val="24"/>
        </w:rPr>
        <w:t xml:space="preserve">ir piesakāms noraidījums tiesai. </w:t>
      </w:r>
    </w:p>
    <w:p w14:paraId="2E220777" w14:textId="77777777" w:rsidR="008765D8" w:rsidRPr="003F32ED" w:rsidRDefault="008765D8" w:rsidP="0073783D">
      <w:pPr>
        <w:pStyle w:val="Bezatstarpm"/>
        <w:spacing w:line="274" w:lineRule="auto"/>
        <w:ind w:right="420" w:firstLine="709"/>
        <w:jc w:val="both"/>
        <w:rPr>
          <w:rFonts w:ascii="Times New Roman" w:hAnsi="Times New Roman" w:cs="Times New Roman"/>
          <w:sz w:val="24"/>
          <w:szCs w:val="24"/>
        </w:rPr>
      </w:pPr>
    </w:p>
    <w:p w14:paraId="0B47805F" w14:textId="20444E0E" w:rsidR="00963CF5" w:rsidRDefault="00680DF0" w:rsidP="0073783D">
      <w:pPr>
        <w:pStyle w:val="Bezatstarpm"/>
        <w:spacing w:line="274" w:lineRule="auto"/>
        <w:ind w:right="420" w:firstLine="709"/>
        <w:jc w:val="both"/>
        <w:rPr>
          <w:rFonts w:ascii="Times New Roman" w:hAnsi="Times New Roman" w:cs="Times New Roman"/>
          <w:sz w:val="24"/>
          <w:szCs w:val="24"/>
        </w:rPr>
      </w:pPr>
      <w:r w:rsidRPr="003F32ED">
        <w:rPr>
          <w:rFonts w:ascii="Times New Roman" w:hAnsi="Times New Roman" w:cs="Times New Roman"/>
          <w:sz w:val="24"/>
          <w:szCs w:val="24"/>
        </w:rPr>
        <w:t>[</w:t>
      </w:r>
      <w:r w:rsidR="00451BEE">
        <w:rPr>
          <w:rFonts w:ascii="Times New Roman" w:hAnsi="Times New Roman" w:cs="Times New Roman"/>
          <w:sz w:val="24"/>
          <w:szCs w:val="24"/>
        </w:rPr>
        <w:t>6</w:t>
      </w:r>
      <w:r w:rsidRPr="00963CF5">
        <w:rPr>
          <w:rFonts w:ascii="Times New Roman" w:hAnsi="Times New Roman" w:cs="Times New Roman"/>
          <w:sz w:val="24"/>
          <w:szCs w:val="24"/>
        </w:rPr>
        <w:t xml:space="preserve">] </w:t>
      </w:r>
      <w:r w:rsidR="00963CF5" w:rsidRPr="00963CF5">
        <w:rPr>
          <w:rFonts w:ascii="Times New Roman" w:hAnsi="Times New Roman" w:cs="Times New Roman"/>
          <w:sz w:val="24"/>
          <w:szCs w:val="24"/>
        </w:rPr>
        <w:t xml:space="preserve">Tiesnešu ētikas komisija ir </w:t>
      </w:r>
      <w:r w:rsidR="00A6674F">
        <w:rPr>
          <w:rFonts w:ascii="Times New Roman" w:hAnsi="Times New Roman" w:cs="Times New Roman"/>
          <w:sz w:val="24"/>
          <w:szCs w:val="24"/>
        </w:rPr>
        <w:t>apkopojusi</w:t>
      </w:r>
      <w:r w:rsidR="00710D93">
        <w:rPr>
          <w:rFonts w:ascii="Times New Roman" w:hAnsi="Times New Roman" w:cs="Times New Roman"/>
          <w:sz w:val="24"/>
          <w:szCs w:val="24"/>
        </w:rPr>
        <w:t xml:space="preserve"> jautājumus</w:t>
      </w:r>
      <w:r w:rsidR="00963CF5">
        <w:rPr>
          <w:rFonts w:ascii="Times New Roman" w:hAnsi="Times New Roman" w:cs="Times New Roman"/>
          <w:sz w:val="24"/>
          <w:szCs w:val="24"/>
        </w:rPr>
        <w:t>, kas vērtējami, izlemjot par tiesneša atstatīšanos no lietas izskatīšanas (</w:t>
      </w:r>
      <w:r w:rsidR="00963CF5" w:rsidRPr="00963CF5">
        <w:rPr>
          <w:rFonts w:ascii="Times New Roman" w:hAnsi="Times New Roman" w:cs="Times New Roman"/>
          <w:i/>
          <w:iCs/>
          <w:sz w:val="24"/>
          <w:szCs w:val="24"/>
        </w:rPr>
        <w:t>sk. Tiesnešu ētikas komisijas 2026.gada 19.janvāra atzinumu</w:t>
      </w:r>
      <w:r w:rsidR="00963CF5">
        <w:rPr>
          <w:rFonts w:ascii="Times New Roman" w:hAnsi="Times New Roman" w:cs="Times New Roman"/>
          <w:sz w:val="24"/>
          <w:szCs w:val="24"/>
        </w:rPr>
        <w:t xml:space="preserve">). Šie paši </w:t>
      </w:r>
      <w:r w:rsidR="00710D93">
        <w:rPr>
          <w:rFonts w:ascii="Times New Roman" w:hAnsi="Times New Roman" w:cs="Times New Roman"/>
          <w:sz w:val="24"/>
          <w:szCs w:val="24"/>
        </w:rPr>
        <w:t>jautājumi</w:t>
      </w:r>
      <w:r w:rsidR="00963CF5">
        <w:rPr>
          <w:rFonts w:ascii="Times New Roman" w:hAnsi="Times New Roman" w:cs="Times New Roman"/>
          <w:sz w:val="24"/>
          <w:szCs w:val="24"/>
        </w:rPr>
        <w:t xml:space="preserve"> izmantojami gadījumos, kad tiesnesim pieteik</w:t>
      </w:r>
      <w:r w:rsidR="00A11D8A">
        <w:rPr>
          <w:rFonts w:ascii="Times New Roman" w:hAnsi="Times New Roman" w:cs="Times New Roman"/>
          <w:sz w:val="24"/>
          <w:szCs w:val="24"/>
        </w:rPr>
        <w:t>t</w:t>
      </w:r>
      <w:r w:rsidR="00963CF5">
        <w:rPr>
          <w:rFonts w:ascii="Times New Roman" w:hAnsi="Times New Roman" w:cs="Times New Roman"/>
          <w:sz w:val="24"/>
          <w:szCs w:val="24"/>
        </w:rPr>
        <w:t xml:space="preserve">s noraidījums. </w:t>
      </w:r>
    </w:p>
    <w:p w14:paraId="79AC5960" w14:textId="3439A6B9" w:rsidR="00963CF5" w:rsidRPr="003F32ED" w:rsidRDefault="00963CF5" w:rsidP="0073783D">
      <w:pPr>
        <w:pStyle w:val="Bezatstarpm"/>
        <w:spacing w:line="274" w:lineRule="auto"/>
        <w:ind w:right="420" w:firstLine="709"/>
        <w:jc w:val="both"/>
        <w:rPr>
          <w:rFonts w:ascii="Times New Roman" w:hAnsi="Times New Roman" w:cs="Times New Roman"/>
          <w:sz w:val="24"/>
          <w:szCs w:val="24"/>
        </w:rPr>
      </w:pPr>
      <w:r>
        <w:rPr>
          <w:rFonts w:ascii="Times New Roman" w:hAnsi="Times New Roman" w:cs="Times New Roman"/>
          <w:sz w:val="24"/>
          <w:szCs w:val="24"/>
        </w:rPr>
        <w:t>N</w:t>
      </w:r>
      <w:r w:rsidRPr="003F32ED">
        <w:rPr>
          <w:rFonts w:ascii="Times New Roman" w:hAnsi="Times New Roman" w:cs="Times New Roman"/>
          <w:sz w:val="24"/>
          <w:szCs w:val="24"/>
        </w:rPr>
        <w:t xml:space="preserve">olēmuma pamatošanā izmantojami objektīvi, lietas izskatīšanas laikā konstatēti un visiem lietas dalībniekiem zināmi apstākļi. </w:t>
      </w:r>
      <w:r>
        <w:rPr>
          <w:rFonts w:ascii="Times New Roman" w:hAnsi="Times New Roman" w:cs="Times New Roman"/>
          <w:sz w:val="24"/>
          <w:szCs w:val="24"/>
        </w:rPr>
        <w:t xml:space="preserve">Pamatojot pieņemto nolēmumu, </w:t>
      </w:r>
      <w:r w:rsidRPr="003F32ED">
        <w:rPr>
          <w:rFonts w:ascii="Times New Roman" w:hAnsi="Times New Roman" w:cs="Times New Roman"/>
          <w:sz w:val="24"/>
          <w:szCs w:val="24"/>
        </w:rPr>
        <w:t>tiesnesis neapšaubāmi pauž arī savu viedokli.</w:t>
      </w:r>
    </w:p>
    <w:p w14:paraId="6C8CFD52" w14:textId="77777777" w:rsidR="001A3702" w:rsidRPr="003F32ED" w:rsidRDefault="001A3702" w:rsidP="0073783D">
      <w:pPr>
        <w:pStyle w:val="Bezatstarpm"/>
        <w:spacing w:line="274" w:lineRule="auto"/>
        <w:ind w:right="420" w:firstLine="709"/>
        <w:jc w:val="both"/>
        <w:rPr>
          <w:rFonts w:ascii="Times New Roman" w:hAnsi="Times New Roman" w:cs="Times New Roman"/>
          <w:sz w:val="24"/>
          <w:szCs w:val="24"/>
        </w:rPr>
      </w:pPr>
      <w:r w:rsidRPr="003F32ED">
        <w:rPr>
          <w:rFonts w:ascii="Times New Roman" w:hAnsi="Times New Roman" w:cs="Times New Roman"/>
          <w:sz w:val="24"/>
          <w:szCs w:val="24"/>
        </w:rPr>
        <w:t xml:space="preserve">Tiesnešu ētikas komisija atkārtoti vērš uzmanību, ka ne vienmēr ir viegli noteikt, vai konkrētā gadījumā tiešām ir izmantoti </w:t>
      </w:r>
      <w:r w:rsidRPr="003F32ED">
        <w:rPr>
          <w:rFonts w:ascii="Times New Roman" w:hAnsi="Times New Roman" w:cs="Times New Roman"/>
          <w:i/>
          <w:iCs/>
          <w:sz w:val="24"/>
          <w:szCs w:val="24"/>
        </w:rPr>
        <w:t>ad hominem</w:t>
      </w:r>
      <w:r w:rsidRPr="003F32ED">
        <w:rPr>
          <w:rFonts w:ascii="Times New Roman" w:hAnsi="Times New Roman" w:cs="Times New Roman"/>
          <w:sz w:val="24"/>
          <w:szCs w:val="24"/>
        </w:rPr>
        <w:t xml:space="preserve"> argumenti. Katrā konkrētā gadījumā ir jāvērtē visa diskusija kopumā, jo ir iespējama situācija, kad argumentu izteikušās personas īpašībām vai motīviem var būt nozīme diskusijā, tā kā tas ļauj spriest par personas izteikto apgalvojumu ticamību vai izprast situācijas kontekstu. Tas nozīmē, ka nebūtu pieļaujams izteikt tikai kritiku par oponenta personiskajām īpašībām vai motīviem, nesasaistot to ar vērtējumu par oponenta argumentu pamatotību. Turklāt, izsakot šādu kritiku, diskusijas dalībniekam ir jāspēj loģiski pamatot, ka šādai kritikai ir nozīme argumentu vērtējumā (</w:t>
      </w:r>
      <w:r w:rsidRPr="003F32ED">
        <w:rPr>
          <w:rFonts w:ascii="Times New Roman" w:hAnsi="Times New Roman" w:cs="Times New Roman"/>
          <w:i/>
          <w:iCs/>
          <w:sz w:val="24"/>
          <w:szCs w:val="24"/>
        </w:rPr>
        <w:t>sk. Tiesnešu ētikas komisijas 2018.gada 12.janvāra skaidrojumu</w:t>
      </w:r>
      <w:r w:rsidRPr="003F32ED">
        <w:rPr>
          <w:rFonts w:ascii="Times New Roman" w:hAnsi="Times New Roman" w:cs="Times New Roman"/>
          <w:sz w:val="24"/>
          <w:szCs w:val="24"/>
        </w:rPr>
        <w:t xml:space="preserve">).  </w:t>
      </w:r>
    </w:p>
    <w:p w14:paraId="09D56256" w14:textId="12F47EA8" w:rsidR="001A3702" w:rsidRPr="003F32ED" w:rsidRDefault="00503835" w:rsidP="0073783D">
      <w:pPr>
        <w:pStyle w:val="Bezatstarpm"/>
        <w:spacing w:line="274" w:lineRule="auto"/>
        <w:ind w:right="420" w:firstLine="709"/>
        <w:jc w:val="both"/>
        <w:rPr>
          <w:rFonts w:ascii="Times New Roman" w:hAnsi="Times New Roman" w:cs="Times New Roman"/>
          <w:sz w:val="24"/>
          <w:szCs w:val="24"/>
        </w:rPr>
      </w:pPr>
      <w:r>
        <w:rPr>
          <w:rFonts w:ascii="Times New Roman" w:hAnsi="Times New Roman" w:cs="Times New Roman"/>
          <w:sz w:val="24"/>
          <w:szCs w:val="24"/>
        </w:rPr>
        <w:t>Tiesnešu ē</w:t>
      </w:r>
      <w:r w:rsidR="00C92622">
        <w:rPr>
          <w:rFonts w:ascii="Times New Roman" w:hAnsi="Times New Roman" w:cs="Times New Roman"/>
          <w:sz w:val="24"/>
          <w:szCs w:val="24"/>
        </w:rPr>
        <w:t>tikas komisijas ieskatā š</w:t>
      </w:r>
      <w:r w:rsidR="001A3702" w:rsidRPr="003F32ED">
        <w:rPr>
          <w:rFonts w:ascii="Times New Roman" w:hAnsi="Times New Roman" w:cs="Times New Roman"/>
          <w:sz w:val="24"/>
          <w:szCs w:val="24"/>
        </w:rPr>
        <w:t xml:space="preserve">ī atziņa attiecināma arī uz tiesas nolēmuma pamatošanu. </w:t>
      </w:r>
    </w:p>
    <w:p w14:paraId="08B9601F" w14:textId="39AA8C99" w:rsidR="008546C1" w:rsidRDefault="001A3702" w:rsidP="0073783D">
      <w:pPr>
        <w:pStyle w:val="Bezatstarpm"/>
        <w:spacing w:line="274" w:lineRule="auto"/>
        <w:ind w:right="420" w:firstLine="709"/>
        <w:jc w:val="both"/>
        <w:rPr>
          <w:rFonts w:ascii="Times New Roman" w:hAnsi="Times New Roman" w:cs="Times New Roman"/>
          <w:sz w:val="24"/>
          <w:szCs w:val="24"/>
        </w:rPr>
      </w:pPr>
      <w:r w:rsidRPr="003F32ED">
        <w:rPr>
          <w:rFonts w:ascii="Times New Roman" w:hAnsi="Times New Roman" w:cs="Times New Roman"/>
          <w:sz w:val="24"/>
          <w:szCs w:val="24"/>
        </w:rPr>
        <w:t xml:space="preserve">Izskatāmajā gadījumā, norādot uz tiesnesei zināmiem, bet nenosauktiem iemesliem noraidījuma pieteikšanai, </w:t>
      </w:r>
      <w:r w:rsidR="008546C1" w:rsidRPr="003F32ED">
        <w:rPr>
          <w:rFonts w:ascii="Times New Roman" w:hAnsi="Times New Roman" w:cs="Times New Roman"/>
          <w:sz w:val="24"/>
          <w:szCs w:val="24"/>
        </w:rPr>
        <w:t xml:space="preserve">tos nekonkretizējot, lēmuma pamatojums ir aizskarošs. Tiesnešu ētikas komisijas ieskatā tiesnese </w:t>
      </w:r>
      <w:r w:rsidRPr="003F32ED">
        <w:rPr>
          <w:rFonts w:ascii="Times New Roman" w:hAnsi="Times New Roman" w:cs="Times New Roman"/>
          <w:sz w:val="24"/>
          <w:szCs w:val="24"/>
        </w:rPr>
        <w:t xml:space="preserve">ir </w:t>
      </w:r>
      <w:r w:rsidR="008546C1" w:rsidRPr="003F32ED">
        <w:rPr>
          <w:rFonts w:ascii="Times New Roman" w:hAnsi="Times New Roman" w:cs="Times New Roman"/>
          <w:sz w:val="24"/>
          <w:szCs w:val="24"/>
        </w:rPr>
        <w:t xml:space="preserve">pārkāpusi robežu starp lēmuma pamatošanu un nepieļaujamu lietas dalībnieku īpašības un rīcības motīvus kritizējošu argumentu izmantošanu nolēmumā, kas nav tiesneša cienīga rīcība. </w:t>
      </w:r>
    </w:p>
    <w:p w14:paraId="5D2B473D" w14:textId="1946AAB9" w:rsidR="009229A3" w:rsidRPr="003F32ED" w:rsidRDefault="009229A3" w:rsidP="0073783D">
      <w:pPr>
        <w:pStyle w:val="Bezatstarpm"/>
        <w:spacing w:line="274" w:lineRule="auto"/>
        <w:ind w:right="420" w:firstLine="709"/>
        <w:jc w:val="both"/>
        <w:rPr>
          <w:rFonts w:ascii="Times New Roman" w:hAnsi="Times New Roman" w:cs="Times New Roman"/>
          <w:sz w:val="24"/>
          <w:szCs w:val="24"/>
        </w:rPr>
      </w:pPr>
      <w:r w:rsidRPr="009229A3">
        <w:rPr>
          <w:rFonts w:ascii="Times New Roman" w:hAnsi="Times New Roman" w:cs="Times New Roman"/>
          <w:sz w:val="24"/>
          <w:szCs w:val="24"/>
        </w:rPr>
        <w:t xml:space="preserve">Bez tam </w:t>
      </w:r>
      <w:r w:rsidR="00FB47A2">
        <w:rPr>
          <w:rFonts w:ascii="Times New Roman" w:hAnsi="Times New Roman" w:cs="Times New Roman"/>
          <w:sz w:val="24"/>
          <w:szCs w:val="24"/>
        </w:rPr>
        <w:t>Tiesnešu ē</w:t>
      </w:r>
      <w:r w:rsidRPr="009229A3">
        <w:rPr>
          <w:rFonts w:ascii="Times New Roman" w:hAnsi="Times New Roman" w:cs="Times New Roman"/>
          <w:sz w:val="24"/>
          <w:szCs w:val="24"/>
        </w:rPr>
        <w:t>tikas komisija vērš uzmanību, ka tiesnese lēmumā ir aprakstījusi un atsaukusies uz faktiem, kas raksturo viņas neapmierinātību ar iekšējo tiesas darba organizēšanu un tiesas vadību. Tiesnesim būtu jāatturas procesuālos nolēmumos šādu konfliktu atklāt, būtu ieteicams to risināt</w:t>
      </w:r>
      <w:r w:rsidR="00FB47A2">
        <w:rPr>
          <w:rFonts w:ascii="Times New Roman" w:hAnsi="Times New Roman" w:cs="Times New Roman"/>
          <w:sz w:val="24"/>
          <w:szCs w:val="24"/>
        </w:rPr>
        <w:t>,</w:t>
      </w:r>
      <w:r w:rsidRPr="009229A3">
        <w:rPr>
          <w:rFonts w:ascii="Times New Roman" w:hAnsi="Times New Roman" w:cs="Times New Roman"/>
          <w:sz w:val="24"/>
          <w:szCs w:val="24"/>
        </w:rPr>
        <w:t xml:space="preserve"> komunicējot ar tiesas vadību vai citādā veidā, kas publiski negrauj tiesas reputāciju.</w:t>
      </w:r>
    </w:p>
    <w:p w14:paraId="6A5D5E3E" w14:textId="77777777" w:rsidR="008546C1" w:rsidRPr="003F32ED" w:rsidRDefault="008546C1" w:rsidP="0073783D">
      <w:pPr>
        <w:pStyle w:val="Bezatstarpm"/>
        <w:spacing w:line="274" w:lineRule="auto"/>
        <w:ind w:right="420" w:firstLine="709"/>
        <w:jc w:val="both"/>
        <w:rPr>
          <w:rFonts w:ascii="Times New Roman" w:hAnsi="Times New Roman" w:cs="Times New Roman"/>
          <w:sz w:val="24"/>
          <w:szCs w:val="24"/>
        </w:rPr>
      </w:pPr>
    </w:p>
    <w:p w14:paraId="5CADF64C" w14:textId="08F0C2C4" w:rsidR="008546C1" w:rsidRPr="003F32ED" w:rsidRDefault="008546C1" w:rsidP="0073783D">
      <w:pPr>
        <w:pStyle w:val="Bezatstarpm"/>
        <w:spacing w:line="274" w:lineRule="auto"/>
        <w:ind w:right="420" w:firstLine="709"/>
        <w:jc w:val="both"/>
        <w:rPr>
          <w:rFonts w:ascii="Times New Roman" w:hAnsi="Times New Roman" w:cs="Times New Roman"/>
          <w:sz w:val="24"/>
          <w:szCs w:val="24"/>
        </w:rPr>
      </w:pPr>
      <w:r w:rsidRPr="003F32ED">
        <w:rPr>
          <w:rFonts w:ascii="Times New Roman" w:hAnsi="Times New Roman" w:cs="Times New Roman"/>
          <w:sz w:val="24"/>
          <w:szCs w:val="24"/>
        </w:rPr>
        <w:t>[</w:t>
      </w:r>
      <w:r w:rsidR="00451BEE">
        <w:rPr>
          <w:rFonts w:ascii="Times New Roman" w:hAnsi="Times New Roman" w:cs="Times New Roman"/>
          <w:sz w:val="24"/>
          <w:szCs w:val="24"/>
        </w:rPr>
        <w:t>7</w:t>
      </w:r>
      <w:r w:rsidRPr="003F32ED">
        <w:rPr>
          <w:rFonts w:ascii="Times New Roman" w:hAnsi="Times New Roman" w:cs="Times New Roman"/>
          <w:sz w:val="24"/>
          <w:szCs w:val="24"/>
        </w:rPr>
        <w:t xml:space="preserve">] Tiesnešu ētikas komisija atzīst, ka tiesnese ir pārkāpusi Tiesnešu ētikas kodeksa 1.kanona 5.punktu, 2.kanona 1.punktu, 2.punktu un 3.punktu, 3.kanona </w:t>
      </w:r>
      <w:r w:rsidR="0040160B">
        <w:rPr>
          <w:rFonts w:ascii="Times New Roman" w:hAnsi="Times New Roman" w:cs="Times New Roman"/>
          <w:sz w:val="24"/>
          <w:szCs w:val="24"/>
        </w:rPr>
        <w:t>2</w:t>
      </w:r>
      <w:r w:rsidRPr="003F32ED">
        <w:rPr>
          <w:rFonts w:ascii="Times New Roman" w:hAnsi="Times New Roman" w:cs="Times New Roman"/>
          <w:sz w:val="24"/>
          <w:szCs w:val="24"/>
        </w:rPr>
        <w:t>.punktu</w:t>
      </w:r>
      <w:r w:rsidR="0040160B">
        <w:rPr>
          <w:rFonts w:ascii="Times New Roman" w:hAnsi="Times New Roman" w:cs="Times New Roman"/>
          <w:sz w:val="24"/>
          <w:szCs w:val="24"/>
        </w:rPr>
        <w:t>.</w:t>
      </w:r>
    </w:p>
    <w:p w14:paraId="50A572C6" w14:textId="33FD5B15" w:rsidR="008546C1" w:rsidRPr="003F32ED" w:rsidRDefault="00730FCC" w:rsidP="0073783D">
      <w:pPr>
        <w:pStyle w:val="Bezatstarpm"/>
        <w:spacing w:line="274" w:lineRule="auto"/>
        <w:ind w:right="420" w:firstLine="709"/>
        <w:jc w:val="both"/>
        <w:rPr>
          <w:rFonts w:ascii="Times New Roman" w:hAnsi="Times New Roman" w:cs="Times New Roman"/>
          <w:sz w:val="24"/>
          <w:szCs w:val="24"/>
        </w:rPr>
      </w:pPr>
      <w:r w:rsidRPr="003F32ED">
        <w:rPr>
          <w:rFonts w:ascii="Times New Roman" w:hAnsi="Times New Roman" w:cs="Times New Roman"/>
          <w:sz w:val="24"/>
          <w:szCs w:val="24"/>
        </w:rPr>
        <w:t xml:space="preserve">Vienlaikus Tiesnešu ētikas komisija atzīst, ka tiesneses ētikas normu pārkāpums nav vērtējams kā rupjš. Tiesnešu ētikas komisija ņem vērā, ka komisijas sēdē tiesnese paskaidroja, ka turpmākajā darbā ar īpašu rūpību izvērtēs, kādus argumentus un apsvērumus norādīt  nolēmumu pamatojumā. </w:t>
      </w:r>
    </w:p>
    <w:p w14:paraId="0D56501D" w14:textId="77777777" w:rsidR="00194A3F" w:rsidRPr="003F32ED" w:rsidRDefault="00194A3F" w:rsidP="0073783D">
      <w:pPr>
        <w:pStyle w:val="Bezatstarpm"/>
        <w:spacing w:line="274" w:lineRule="auto"/>
        <w:ind w:right="420" w:firstLine="709"/>
        <w:jc w:val="both"/>
        <w:rPr>
          <w:rFonts w:ascii="Times New Roman" w:eastAsia="Times New Roman" w:hAnsi="Times New Roman" w:cs="Times New Roman"/>
          <w:color w:val="000000"/>
          <w:kern w:val="2"/>
          <w:sz w:val="24"/>
          <w:szCs w:val="24"/>
          <w:lang w:eastAsia="hi-IN" w:bidi="hi-IN"/>
        </w:rPr>
      </w:pPr>
    </w:p>
    <w:p w14:paraId="3B36F58F" w14:textId="77777777" w:rsidR="00194A3F" w:rsidRPr="003F32ED" w:rsidRDefault="007E7C86" w:rsidP="0073783D">
      <w:pPr>
        <w:pStyle w:val="Bezatstarpm"/>
        <w:spacing w:line="274" w:lineRule="auto"/>
        <w:ind w:right="420" w:firstLine="709"/>
        <w:jc w:val="both"/>
        <w:rPr>
          <w:rFonts w:ascii="Times New Roman" w:eastAsia="Times New Roman" w:hAnsi="Times New Roman" w:cs="Times New Roman"/>
          <w:color w:val="000000"/>
          <w:kern w:val="2"/>
          <w:sz w:val="24"/>
          <w:szCs w:val="24"/>
          <w:lang w:eastAsia="hi-IN" w:bidi="hi-IN"/>
        </w:rPr>
      </w:pPr>
      <w:r w:rsidRPr="003F32ED">
        <w:rPr>
          <w:rFonts w:ascii="Times New Roman" w:eastAsia="Times New Roman" w:hAnsi="Times New Roman" w:cs="Times New Roman"/>
          <w:color w:val="000000"/>
          <w:kern w:val="2"/>
          <w:sz w:val="24"/>
          <w:szCs w:val="24"/>
          <w:lang w:eastAsia="hi-IN" w:bidi="hi-IN"/>
        </w:rPr>
        <w:t>Ņemot vērā norādīto, Tiesnešu ētikas komisija</w:t>
      </w:r>
    </w:p>
    <w:p w14:paraId="679251AD" w14:textId="77777777" w:rsidR="00194A3F" w:rsidRPr="003F32ED" w:rsidRDefault="00194A3F" w:rsidP="0073783D">
      <w:pPr>
        <w:pStyle w:val="Bezatstarpm"/>
        <w:spacing w:line="274" w:lineRule="auto"/>
        <w:ind w:right="420"/>
        <w:jc w:val="both"/>
        <w:rPr>
          <w:rFonts w:ascii="Times New Roman" w:eastAsia="Times New Roman" w:hAnsi="Times New Roman" w:cs="Times New Roman"/>
          <w:color w:val="000000"/>
          <w:kern w:val="2"/>
          <w:sz w:val="24"/>
          <w:szCs w:val="24"/>
          <w:lang w:eastAsia="hi-IN" w:bidi="hi-IN"/>
        </w:rPr>
      </w:pPr>
    </w:p>
    <w:p w14:paraId="3D050D7D" w14:textId="385B2C47" w:rsidR="00194A3F" w:rsidRPr="003F32ED" w:rsidRDefault="00206106" w:rsidP="0073783D">
      <w:pPr>
        <w:pStyle w:val="Bezatstarpm"/>
        <w:spacing w:line="274" w:lineRule="auto"/>
        <w:ind w:right="420" w:firstLine="709"/>
        <w:jc w:val="center"/>
        <w:rPr>
          <w:rFonts w:ascii="Times New Roman" w:eastAsia="Times New Roman" w:hAnsi="Times New Roman" w:cs="Times New Roman"/>
          <w:b/>
          <w:bCs/>
          <w:color w:val="000000"/>
          <w:kern w:val="2"/>
          <w:sz w:val="24"/>
          <w:szCs w:val="24"/>
          <w:lang w:eastAsia="hi-IN" w:bidi="hi-IN"/>
        </w:rPr>
      </w:pPr>
      <w:r>
        <w:rPr>
          <w:rFonts w:ascii="Times New Roman" w:eastAsia="Times New Roman" w:hAnsi="Times New Roman" w:cs="Times New Roman"/>
          <w:b/>
          <w:bCs/>
          <w:color w:val="000000"/>
          <w:kern w:val="2"/>
          <w:sz w:val="24"/>
          <w:szCs w:val="24"/>
          <w:lang w:eastAsia="hi-IN" w:bidi="hi-IN"/>
        </w:rPr>
        <w:lastRenderedPageBreak/>
        <w:t>a</w:t>
      </w:r>
      <w:r w:rsidR="007E7C86" w:rsidRPr="003F32ED">
        <w:rPr>
          <w:rFonts w:ascii="Times New Roman" w:eastAsia="Times New Roman" w:hAnsi="Times New Roman" w:cs="Times New Roman"/>
          <w:b/>
          <w:bCs/>
          <w:color w:val="000000"/>
          <w:kern w:val="2"/>
          <w:sz w:val="24"/>
          <w:szCs w:val="24"/>
          <w:lang w:eastAsia="hi-IN" w:bidi="hi-IN"/>
        </w:rPr>
        <w:t>tzīst</w:t>
      </w:r>
      <w:r>
        <w:rPr>
          <w:rFonts w:ascii="Times New Roman" w:eastAsia="Times New Roman" w:hAnsi="Times New Roman" w:cs="Times New Roman"/>
          <w:b/>
          <w:bCs/>
          <w:color w:val="000000"/>
          <w:kern w:val="2"/>
          <w:sz w:val="24"/>
          <w:szCs w:val="24"/>
          <w:lang w:eastAsia="hi-IN" w:bidi="hi-IN"/>
        </w:rPr>
        <w:t>:</w:t>
      </w:r>
    </w:p>
    <w:p w14:paraId="3C9A7189" w14:textId="77777777" w:rsidR="00B16A1F" w:rsidRDefault="00B16A1F" w:rsidP="0073783D">
      <w:pPr>
        <w:pStyle w:val="Bezatstarpm"/>
        <w:spacing w:line="274" w:lineRule="auto"/>
        <w:ind w:right="420" w:firstLine="709"/>
        <w:jc w:val="both"/>
        <w:rPr>
          <w:rFonts w:ascii="Times New Roman" w:eastAsia="Times New Roman" w:hAnsi="Times New Roman" w:cs="Times New Roman"/>
          <w:color w:val="000000"/>
          <w:kern w:val="2"/>
          <w:sz w:val="24"/>
          <w:szCs w:val="24"/>
          <w:lang w:eastAsia="hi-IN" w:bidi="hi-IN"/>
        </w:rPr>
      </w:pPr>
    </w:p>
    <w:p w14:paraId="723E739C" w14:textId="3DB188FF" w:rsidR="00194A3F" w:rsidRPr="003F32ED" w:rsidRDefault="00206106" w:rsidP="0073783D">
      <w:pPr>
        <w:pStyle w:val="Bezatstarpm"/>
        <w:spacing w:line="274" w:lineRule="auto"/>
        <w:ind w:right="420" w:firstLine="709"/>
        <w:jc w:val="both"/>
        <w:rPr>
          <w:rFonts w:ascii="Times New Roman" w:eastAsia="Times New Roman" w:hAnsi="Times New Roman" w:cs="Times New Roman"/>
          <w:color w:val="000000"/>
          <w:kern w:val="2"/>
          <w:sz w:val="24"/>
          <w:szCs w:val="24"/>
          <w:lang w:eastAsia="hi-IN" w:bidi="hi-IN"/>
        </w:rPr>
      </w:pPr>
      <w:r>
        <w:rPr>
          <w:rFonts w:ascii="Times New Roman" w:eastAsia="Times New Roman" w:hAnsi="Times New Roman" w:cs="Times New Roman"/>
          <w:color w:val="000000"/>
          <w:kern w:val="2"/>
          <w:sz w:val="24"/>
          <w:szCs w:val="24"/>
          <w:lang w:eastAsia="hi-IN" w:bidi="hi-IN"/>
        </w:rPr>
        <w:t>t</w:t>
      </w:r>
      <w:r w:rsidR="007E7C86" w:rsidRPr="003F32ED">
        <w:rPr>
          <w:rFonts w:ascii="Times New Roman" w:eastAsia="Times New Roman" w:hAnsi="Times New Roman" w:cs="Times New Roman"/>
          <w:color w:val="000000"/>
          <w:kern w:val="2"/>
          <w:sz w:val="24"/>
          <w:szCs w:val="24"/>
          <w:lang w:eastAsia="hi-IN" w:bidi="hi-IN"/>
        </w:rPr>
        <w:t>iesne</w:t>
      </w:r>
      <w:r w:rsidR="007705F8" w:rsidRPr="003F32ED">
        <w:rPr>
          <w:rFonts w:ascii="Times New Roman" w:eastAsia="Times New Roman" w:hAnsi="Times New Roman" w:cs="Times New Roman"/>
          <w:color w:val="000000"/>
          <w:kern w:val="2"/>
          <w:sz w:val="24"/>
          <w:szCs w:val="24"/>
          <w:lang w:eastAsia="hi-IN" w:bidi="hi-IN"/>
        </w:rPr>
        <w:t>ses</w:t>
      </w:r>
      <w:r w:rsidR="003F32ED" w:rsidRPr="003F32ED">
        <w:rPr>
          <w:rFonts w:ascii="Times New Roman" w:eastAsia="Times New Roman" w:hAnsi="Times New Roman" w:cs="Times New Roman"/>
          <w:color w:val="000000"/>
          <w:kern w:val="2"/>
          <w:sz w:val="24"/>
          <w:szCs w:val="24"/>
          <w:lang w:eastAsia="hi-IN" w:bidi="hi-IN"/>
        </w:rPr>
        <w:t xml:space="preserve"> </w:t>
      </w:r>
      <w:r w:rsidR="007E7C86" w:rsidRPr="003F32ED">
        <w:rPr>
          <w:rFonts w:ascii="Times New Roman" w:eastAsia="Times New Roman" w:hAnsi="Times New Roman" w:cs="Times New Roman"/>
          <w:color w:val="000000"/>
          <w:kern w:val="2"/>
          <w:sz w:val="24"/>
          <w:szCs w:val="24"/>
          <w:lang w:eastAsia="hi-IN" w:bidi="hi-IN"/>
        </w:rPr>
        <w:t xml:space="preserve">rīcībā ir konstatējams Tiesnešu ētikas kodeksa </w:t>
      </w:r>
      <w:r w:rsidR="003F32ED" w:rsidRPr="003F32ED">
        <w:rPr>
          <w:rFonts w:ascii="Times New Roman" w:eastAsia="Times New Roman" w:hAnsi="Times New Roman" w:cs="Times New Roman"/>
          <w:color w:val="000000"/>
          <w:kern w:val="2"/>
          <w:sz w:val="24"/>
          <w:szCs w:val="24"/>
          <w:lang w:eastAsia="hi-IN" w:bidi="hi-IN"/>
        </w:rPr>
        <w:t xml:space="preserve">1.kanona 5.punkta, 2.kanona 1.punkta, 2.punkta un 3.punkta, 3.kanona </w:t>
      </w:r>
      <w:r w:rsidR="00F34659">
        <w:rPr>
          <w:rFonts w:ascii="Times New Roman" w:eastAsia="Times New Roman" w:hAnsi="Times New Roman" w:cs="Times New Roman"/>
          <w:color w:val="000000"/>
          <w:kern w:val="2"/>
          <w:sz w:val="24"/>
          <w:szCs w:val="24"/>
          <w:lang w:eastAsia="hi-IN" w:bidi="hi-IN"/>
        </w:rPr>
        <w:t>2</w:t>
      </w:r>
      <w:r w:rsidR="003F32ED" w:rsidRPr="003F32ED">
        <w:rPr>
          <w:rFonts w:ascii="Times New Roman" w:eastAsia="Times New Roman" w:hAnsi="Times New Roman" w:cs="Times New Roman"/>
          <w:color w:val="000000"/>
          <w:kern w:val="2"/>
          <w:sz w:val="24"/>
          <w:szCs w:val="24"/>
          <w:lang w:eastAsia="hi-IN" w:bidi="hi-IN"/>
        </w:rPr>
        <w:t xml:space="preserve">.punkta </w:t>
      </w:r>
      <w:r w:rsidR="007E7C86" w:rsidRPr="003F32ED">
        <w:rPr>
          <w:rFonts w:ascii="Times New Roman" w:eastAsia="Times New Roman" w:hAnsi="Times New Roman" w:cs="Times New Roman"/>
          <w:color w:val="000000"/>
          <w:kern w:val="2"/>
          <w:sz w:val="24"/>
          <w:szCs w:val="24"/>
          <w:lang w:eastAsia="hi-IN" w:bidi="hi-IN"/>
        </w:rPr>
        <w:t>pārkāpums.</w:t>
      </w:r>
    </w:p>
    <w:p w14:paraId="4CACE6D4" w14:textId="77777777" w:rsidR="003B04D2" w:rsidRDefault="003B04D2" w:rsidP="0073783D">
      <w:pPr>
        <w:pStyle w:val="Bezatstarpm"/>
        <w:spacing w:line="274" w:lineRule="auto"/>
        <w:ind w:right="420"/>
        <w:jc w:val="both"/>
        <w:rPr>
          <w:rFonts w:ascii="Times New Roman" w:hAnsi="Times New Roman" w:cs="Times New Roman"/>
          <w:sz w:val="24"/>
          <w:szCs w:val="24"/>
        </w:rPr>
      </w:pPr>
    </w:p>
    <w:p w14:paraId="309947B8" w14:textId="77777777" w:rsidR="0073783D" w:rsidRDefault="0073783D" w:rsidP="0073783D">
      <w:pPr>
        <w:pStyle w:val="Bezatstarpm"/>
        <w:spacing w:line="274" w:lineRule="auto"/>
        <w:ind w:right="420"/>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2835"/>
      </w:tblGrid>
      <w:tr w:rsidR="00910D76" w14:paraId="2A94BE4A" w14:textId="77777777" w:rsidTr="00910D76">
        <w:tc>
          <w:tcPr>
            <w:tcW w:w="5812" w:type="dxa"/>
          </w:tcPr>
          <w:p w14:paraId="139080A7" w14:textId="77777777" w:rsidR="00910D76" w:rsidRPr="00707507" w:rsidRDefault="00910D76" w:rsidP="006D36F9">
            <w:pPr>
              <w:pStyle w:val="Bezatstarpm"/>
              <w:spacing w:line="276" w:lineRule="auto"/>
              <w:jc w:val="both"/>
              <w:rPr>
                <w:rFonts w:cs="Times New Roman"/>
                <w:szCs w:val="24"/>
                <w:lang w:val="lv-LV"/>
              </w:rPr>
            </w:pPr>
            <w:r w:rsidRPr="00707507">
              <w:rPr>
                <w:rFonts w:cs="Times New Roman"/>
                <w:szCs w:val="24"/>
                <w:lang w:val="lv-LV"/>
              </w:rPr>
              <w:t>Komisijas priekšsēdētāja:</w:t>
            </w:r>
          </w:p>
        </w:tc>
        <w:tc>
          <w:tcPr>
            <w:tcW w:w="2835" w:type="dxa"/>
          </w:tcPr>
          <w:p w14:paraId="4538AEBF" w14:textId="527CCD39" w:rsidR="00910D76" w:rsidRDefault="00910D76" w:rsidP="006D36F9">
            <w:pPr>
              <w:pStyle w:val="Bezatstarpm"/>
              <w:spacing w:line="276" w:lineRule="auto"/>
              <w:jc w:val="both"/>
              <w:rPr>
                <w:rFonts w:cs="Times New Roman"/>
                <w:szCs w:val="24"/>
              </w:rPr>
            </w:pPr>
            <w:r w:rsidRPr="003102DB">
              <w:rPr>
                <w:rFonts w:cs="Times New Roman"/>
                <w:szCs w:val="24"/>
              </w:rPr>
              <w:t>Diāna Makarova</w:t>
            </w:r>
          </w:p>
        </w:tc>
      </w:tr>
      <w:tr w:rsidR="00910D76" w14:paraId="256A2DC4" w14:textId="77777777" w:rsidTr="00910D76">
        <w:tc>
          <w:tcPr>
            <w:tcW w:w="5812" w:type="dxa"/>
          </w:tcPr>
          <w:p w14:paraId="2754DBC0" w14:textId="77777777" w:rsidR="00910D76" w:rsidRPr="00707507" w:rsidRDefault="00910D76" w:rsidP="006D36F9">
            <w:pPr>
              <w:pStyle w:val="Bezatstarpm"/>
              <w:spacing w:line="276" w:lineRule="auto"/>
              <w:jc w:val="both"/>
              <w:rPr>
                <w:rFonts w:cs="Times New Roman"/>
                <w:szCs w:val="24"/>
                <w:lang w:val="lv-LV"/>
              </w:rPr>
            </w:pPr>
            <w:r w:rsidRPr="00707507">
              <w:rPr>
                <w:rFonts w:cs="Times New Roman"/>
                <w:szCs w:val="24"/>
                <w:lang w:val="lv-LV"/>
              </w:rPr>
              <w:t>Komisijas locekļi:</w:t>
            </w:r>
            <w:r w:rsidRPr="00707507">
              <w:rPr>
                <w:rFonts w:cs="Times New Roman"/>
                <w:szCs w:val="24"/>
                <w:lang w:val="lv-LV"/>
              </w:rPr>
              <w:tab/>
            </w:r>
          </w:p>
        </w:tc>
        <w:tc>
          <w:tcPr>
            <w:tcW w:w="2835" w:type="dxa"/>
          </w:tcPr>
          <w:p w14:paraId="5EC0CC4A" w14:textId="7F8FA663" w:rsidR="00910D76" w:rsidRPr="003102DB" w:rsidRDefault="00910D76" w:rsidP="006D36F9">
            <w:pPr>
              <w:pStyle w:val="Bezatstarpm"/>
              <w:spacing w:line="276" w:lineRule="auto"/>
              <w:jc w:val="both"/>
              <w:rPr>
                <w:rFonts w:cs="Times New Roman"/>
                <w:szCs w:val="24"/>
              </w:rPr>
            </w:pPr>
            <w:r w:rsidRPr="003102DB">
              <w:rPr>
                <w:rFonts w:cs="Times New Roman"/>
                <w:szCs w:val="24"/>
              </w:rPr>
              <w:t>Uldis Apsītis</w:t>
            </w:r>
          </w:p>
        </w:tc>
      </w:tr>
      <w:tr w:rsidR="00910D76" w14:paraId="1555ADCC" w14:textId="77777777" w:rsidTr="00910D76">
        <w:tc>
          <w:tcPr>
            <w:tcW w:w="5812" w:type="dxa"/>
          </w:tcPr>
          <w:p w14:paraId="756A8DD8" w14:textId="77777777" w:rsidR="00910D76" w:rsidRPr="003102DB" w:rsidRDefault="00910D76" w:rsidP="006D36F9">
            <w:pPr>
              <w:pStyle w:val="Bezatstarpm"/>
              <w:spacing w:line="276" w:lineRule="auto"/>
              <w:jc w:val="both"/>
              <w:rPr>
                <w:rFonts w:cs="Times New Roman"/>
                <w:szCs w:val="24"/>
              </w:rPr>
            </w:pPr>
          </w:p>
        </w:tc>
        <w:tc>
          <w:tcPr>
            <w:tcW w:w="2835" w:type="dxa"/>
          </w:tcPr>
          <w:p w14:paraId="0DBFE234" w14:textId="3BB800D8" w:rsidR="00910D76" w:rsidRPr="003102DB" w:rsidRDefault="00910D76" w:rsidP="006D36F9">
            <w:pPr>
              <w:pStyle w:val="Bezatstarpm"/>
              <w:spacing w:line="276" w:lineRule="auto"/>
              <w:jc w:val="both"/>
              <w:rPr>
                <w:rFonts w:cs="Times New Roman"/>
                <w:szCs w:val="24"/>
              </w:rPr>
            </w:pPr>
            <w:r>
              <w:rPr>
                <w:rFonts w:cs="Times New Roman"/>
                <w:szCs w:val="24"/>
              </w:rPr>
              <w:t>Līga Biksiniece-Martinova</w:t>
            </w:r>
          </w:p>
        </w:tc>
      </w:tr>
      <w:tr w:rsidR="00910D76" w14:paraId="49A78B03" w14:textId="77777777" w:rsidTr="00910D76">
        <w:tc>
          <w:tcPr>
            <w:tcW w:w="5812" w:type="dxa"/>
          </w:tcPr>
          <w:p w14:paraId="12F93AD6" w14:textId="77777777" w:rsidR="00910D76" w:rsidRPr="003102DB" w:rsidRDefault="00910D76" w:rsidP="006D36F9">
            <w:pPr>
              <w:pStyle w:val="Bezatstarpm"/>
              <w:spacing w:line="276" w:lineRule="auto"/>
              <w:jc w:val="both"/>
              <w:rPr>
                <w:rFonts w:cs="Times New Roman"/>
                <w:szCs w:val="24"/>
              </w:rPr>
            </w:pPr>
          </w:p>
        </w:tc>
        <w:tc>
          <w:tcPr>
            <w:tcW w:w="2835" w:type="dxa"/>
          </w:tcPr>
          <w:p w14:paraId="6DF4211F" w14:textId="6C4A13E6" w:rsidR="00910D76" w:rsidRDefault="00910D76" w:rsidP="006D36F9">
            <w:pPr>
              <w:pStyle w:val="Bezatstarpm"/>
              <w:spacing w:line="276" w:lineRule="auto"/>
              <w:jc w:val="both"/>
              <w:rPr>
                <w:rFonts w:cs="Times New Roman"/>
                <w:szCs w:val="24"/>
              </w:rPr>
            </w:pPr>
            <w:r>
              <w:rPr>
                <w:rFonts w:cs="Times New Roman"/>
                <w:szCs w:val="24"/>
              </w:rPr>
              <w:t>Aiva Daidere</w:t>
            </w:r>
          </w:p>
        </w:tc>
      </w:tr>
      <w:tr w:rsidR="00910D76" w14:paraId="54F8A232" w14:textId="77777777" w:rsidTr="00910D76">
        <w:tc>
          <w:tcPr>
            <w:tcW w:w="5812" w:type="dxa"/>
          </w:tcPr>
          <w:p w14:paraId="3B8CC988" w14:textId="77777777" w:rsidR="00910D76" w:rsidRPr="003102DB" w:rsidRDefault="00910D76" w:rsidP="006D36F9">
            <w:pPr>
              <w:pStyle w:val="Bezatstarpm"/>
              <w:spacing w:line="276" w:lineRule="auto"/>
              <w:jc w:val="both"/>
              <w:rPr>
                <w:rFonts w:cs="Times New Roman"/>
                <w:szCs w:val="24"/>
              </w:rPr>
            </w:pPr>
          </w:p>
        </w:tc>
        <w:tc>
          <w:tcPr>
            <w:tcW w:w="2835" w:type="dxa"/>
          </w:tcPr>
          <w:p w14:paraId="52DF20C2" w14:textId="5C8EC0F8" w:rsidR="00910D76" w:rsidRDefault="00910D76" w:rsidP="006D36F9">
            <w:pPr>
              <w:pStyle w:val="Bezatstarpm"/>
              <w:spacing w:line="276" w:lineRule="auto"/>
              <w:jc w:val="both"/>
              <w:rPr>
                <w:rFonts w:cs="Times New Roman"/>
                <w:szCs w:val="24"/>
              </w:rPr>
            </w:pPr>
            <w:r>
              <w:rPr>
                <w:rFonts w:cs="Times New Roman"/>
                <w:szCs w:val="24"/>
              </w:rPr>
              <w:t>Jānis Grīnbergs</w:t>
            </w:r>
          </w:p>
        </w:tc>
      </w:tr>
      <w:tr w:rsidR="00910D76" w14:paraId="1333A8AD" w14:textId="77777777" w:rsidTr="00910D76">
        <w:tc>
          <w:tcPr>
            <w:tcW w:w="5812" w:type="dxa"/>
          </w:tcPr>
          <w:p w14:paraId="61732B55" w14:textId="77777777" w:rsidR="00910D76" w:rsidRPr="003102DB" w:rsidRDefault="00910D76" w:rsidP="006D36F9">
            <w:pPr>
              <w:pStyle w:val="Bezatstarpm"/>
              <w:spacing w:line="276" w:lineRule="auto"/>
              <w:jc w:val="both"/>
              <w:rPr>
                <w:rFonts w:cs="Times New Roman"/>
                <w:szCs w:val="24"/>
              </w:rPr>
            </w:pPr>
          </w:p>
        </w:tc>
        <w:tc>
          <w:tcPr>
            <w:tcW w:w="2835" w:type="dxa"/>
          </w:tcPr>
          <w:p w14:paraId="59C91B92" w14:textId="1A1311BC" w:rsidR="00910D76" w:rsidRDefault="00910D76" w:rsidP="006D36F9">
            <w:pPr>
              <w:pStyle w:val="Bezatstarpm"/>
              <w:spacing w:line="276" w:lineRule="auto"/>
              <w:jc w:val="both"/>
              <w:rPr>
                <w:rFonts w:cs="Times New Roman"/>
                <w:szCs w:val="24"/>
              </w:rPr>
            </w:pPr>
            <w:r>
              <w:rPr>
                <w:rFonts w:cs="Times New Roman"/>
                <w:szCs w:val="24"/>
              </w:rPr>
              <w:t>Adrija Kasakovska</w:t>
            </w:r>
          </w:p>
        </w:tc>
      </w:tr>
      <w:tr w:rsidR="00910D76" w14:paraId="40A9819C" w14:textId="77777777" w:rsidTr="00910D76">
        <w:tc>
          <w:tcPr>
            <w:tcW w:w="5812" w:type="dxa"/>
          </w:tcPr>
          <w:p w14:paraId="741D8E83" w14:textId="77777777" w:rsidR="00910D76" w:rsidRPr="003102DB" w:rsidRDefault="00910D76" w:rsidP="006D36F9">
            <w:pPr>
              <w:pStyle w:val="Bezatstarpm"/>
              <w:spacing w:line="276" w:lineRule="auto"/>
              <w:jc w:val="both"/>
              <w:rPr>
                <w:rFonts w:cs="Times New Roman"/>
                <w:szCs w:val="24"/>
              </w:rPr>
            </w:pPr>
          </w:p>
        </w:tc>
        <w:tc>
          <w:tcPr>
            <w:tcW w:w="2835" w:type="dxa"/>
          </w:tcPr>
          <w:p w14:paraId="3906459E" w14:textId="6CF5A4E5" w:rsidR="00910D76" w:rsidRDefault="00910D76" w:rsidP="006D36F9">
            <w:pPr>
              <w:pStyle w:val="Bezatstarpm"/>
              <w:spacing w:line="276" w:lineRule="auto"/>
              <w:jc w:val="both"/>
              <w:rPr>
                <w:rFonts w:cs="Times New Roman"/>
                <w:szCs w:val="24"/>
              </w:rPr>
            </w:pPr>
            <w:r>
              <w:rPr>
                <w:rFonts w:cs="Times New Roman"/>
                <w:szCs w:val="24"/>
              </w:rPr>
              <w:t>Anita Misiuna</w:t>
            </w:r>
          </w:p>
        </w:tc>
      </w:tr>
      <w:tr w:rsidR="00910D76" w14:paraId="54038379" w14:textId="77777777" w:rsidTr="00910D76">
        <w:tc>
          <w:tcPr>
            <w:tcW w:w="5812" w:type="dxa"/>
          </w:tcPr>
          <w:p w14:paraId="41DE14E3" w14:textId="77777777" w:rsidR="00910D76" w:rsidRPr="003102DB" w:rsidRDefault="00910D76" w:rsidP="006D36F9">
            <w:pPr>
              <w:pStyle w:val="Bezatstarpm"/>
              <w:spacing w:line="276" w:lineRule="auto"/>
              <w:jc w:val="both"/>
              <w:rPr>
                <w:rFonts w:cs="Times New Roman"/>
                <w:szCs w:val="24"/>
              </w:rPr>
            </w:pPr>
          </w:p>
        </w:tc>
        <w:tc>
          <w:tcPr>
            <w:tcW w:w="2835" w:type="dxa"/>
          </w:tcPr>
          <w:p w14:paraId="336C1236" w14:textId="4DCEA3BA" w:rsidR="00910D76" w:rsidRDefault="00910D76" w:rsidP="006D36F9">
            <w:pPr>
              <w:pStyle w:val="Bezatstarpm"/>
              <w:spacing w:line="276" w:lineRule="auto"/>
              <w:jc w:val="both"/>
              <w:rPr>
                <w:rFonts w:cs="Times New Roman"/>
                <w:szCs w:val="24"/>
              </w:rPr>
            </w:pPr>
            <w:r>
              <w:rPr>
                <w:rFonts w:cs="Times New Roman"/>
                <w:szCs w:val="24"/>
              </w:rPr>
              <w:t>Sanita Osipova</w:t>
            </w:r>
          </w:p>
        </w:tc>
      </w:tr>
      <w:tr w:rsidR="00910D76" w14:paraId="14832350" w14:textId="77777777" w:rsidTr="00910D76">
        <w:tc>
          <w:tcPr>
            <w:tcW w:w="5812" w:type="dxa"/>
          </w:tcPr>
          <w:p w14:paraId="25D79B57" w14:textId="77777777" w:rsidR="00910D76" w:rsidRPr="003102DB" w:rsidRDefault="00910D76" w:rsidP="006D36F9">
            <w:pPr>
              <w:pStyle w:val="Bezatstarpm"/>
              <w:spacing w:line="276" w:lineRule="auto"/>
              <w:jc w:val="both"/>
              <w:rPr>
                <w:rFonts w:cs="Times New Roman"/>
                <w:szCs w:val="24"/>
              </w:rPr>
            </w:pPr>
          </w:p>
        </w:tc>
        <w:tc>
          <w:tcPr>
            <w:tcW w:w="2835" w:type="dxa"/>
          </w:tcPr>
          <w:p w14:paraId="043230B4" w14:textId="0121D469" w:rsidR="00910D76" w:rsidRDefault="00910D76" w:rsidP="006D36F9">
            <w:pPr>
              <w:pStyle w:val="Bezatstarpm"/>
              <w:spacing w:line="276" w:lineRule="auto"/>
              <w:jc w:val="both"/>
              <w:rPr>
                <w:rFonts w:cs="Times New Roman"/>
                <w:szCs w:val="24"/>
              </w:rPr>
            </w:pPr>
            <w:r>
              <w:rPr>
                <w:rFonts w:cs="Times New Roman"/>
                <w:szCs w:val="24"/>
              </w:rPr>
              <w:t>Gita Zenfa</w:t>
            </w:r>
          </w:p>
        </w:tc>
      </w:tr>
    </w:tbl>
    <w:p w14:paraId="4F664F73" w14:textId="77777777" w:rsidR="003B04D2" w:rsidRDefault="003B04D2" w:rsidP="0073783D">
      <w:pPr>
        <w:pStyle w:val="Bezatstarpm"/>
        <w:spacing w:line="274" w:lineRule="auto"/>
        <w:ind w:left="6480" w:right="420" w:firstLine="720"/>
        <w:jc w:val="both"/>
        <w:rPr>
          <w:rFonts w:ascii="Times New Roman" w:hAnsi="Times New Roman" w:cs="Times New Roman"/>
          <w:sz w:val="24"/>
          <w:szCs w:val="24"/>
        </w:rPr>
      </w:pPr>
    </w:p>
    <w:p w14:paraId="3B44B92D" w14:textId="77777777" w:rsidR="003B04D2" w:rsidRDefault="003B04D2" w:rsidP="0073783D">
      <w:pPr>
        <w:pStyle w:val="Bezatstarpm"/>
        <w:spacing w:line="274" w:lineRule="auto"/>
        <w:ind w:left="6480" w:right="420" w:firstLine="720"/>
        <w:jc w:val="both"/>
        <w:rPr>
          <w:rFonts w:ascii="Times New Roman" w:hAnsi="Times New Roman" w:cs="Times New Roman"/>
          <w:sz w:val="24"/>
          <w:szCs w:val="24"/>
        </w:rPr>
      </w:pPr>
    </w:p>
    <w:p w14:paraId="2674BA4D" w14:textId="77777777" w:rsidR="003B04D2" w:rsidRPr="003F32ED" w:rsidRDefault="003B04D2" w:rsidP="0073783D">
      <w:pPr>
        <w:pStyle w:val="Bezatstarpm"/>
        <w:spacing w:line="274" w:lineRule="auto"/>
        <w:ind w:left="6480" w:right="420" w:firstLine="720"/>
        <w:jc w:val="both"/>
        <w:rPr>
          <w:rFonts w:ascii="Times New Roman" w:hAnsi="Times New Roman" w:cs="Times New Roman"/>
          <w:sz w:val="24"/>
          <w:szCs w:val="24"/>
        </w:rPr>
      </w:pPr>
    </w:p>
    <w:sectPr w:rsidR="003B04D2" w:rsidRPr="003F32ED" w:rsidSect="0073783D">
      <w:footerReference w:type="default" r:id="rId7"/>
      <w:pgSz w:w="11906" w:h="16838" w:code="9"/>
      <w:pgMar w:top="1418" w:right="1138" w:bottom="1138" w:left="1701" w:header="720"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C5125" w14:textId="77777777" w:rsidR="00985BFB" w:rsidRDefault="00985BFB">
      <w:pPr>
        <w:spacing w:after="0" w:line="240" w:lineRule="auto"/>
      </w:pPr>
      <w:r>
        <w:separator/>
      </w:r>
    </w:p>
  </w:endnote>
  <w:endnote w:type="continuationSeparator" w:id="0">
    <w:p w14:paraId="42D8CCE2" w14:textId="77777777" w:rsidR="00985BFB" w:rsidRDefault="00985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256492"/>
      <w:docPartObj>
        <w:docPartGallery w:val="Page Numbers (Bottom of Page)"/>
        <w:docPartUnique/>
      </w:docPartObj>
    </w:sdtPr>
    <w:sdtEndPr>
      <w:rPr>
        <w:noProof/>
      </w:rPr>
    </w:sdtEndPr>
    <w:sdtContent>
      <w:p w14:paraId="7CF9167F" w14:textId="77777777" w:rsidR="007C774B" w:rsidRDefault="007C774B">
        <w:pPr>
          <w:pStyle w:val="Kjene"/>
          <w:jc w:val="center"/>
        </w:pPr>
        <w:r>
          <w:fldChar w:fldCharType="begin"/>
        </w:r>
        <w:r>
          <w:instrText xml:space="preserve"> PAGE   \* MERGEFORMAT </w:instrText>
        </w:r>
        <w:r>
          <w:fldChar w:fldCharType="separate"/>
        </w:r>
        <w:r w:rsidR="00220603">
          <w:rPr>
            <w:noProof/>
          </w:rPr>
          <w:t>2</w:t>
        </w:r>
        <w:r>
          <w:rPr>
            <w:noProof/>
          </w:rPr>
          <w:fldChar w:fldCharType="end"/>
        </w:r>
      </w:p>
    </w:sdtContent>
  </w:sdt>
  <w:p w14:paraId="7AE0FD45" w14:textId="77777777" w:rsidR="007C774B" w:rsidRDefault="007C774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947C5" w14:textId="77777777" w:rsidR="00985BFB" w:rsidRDefault="00985BFB">
      <w:pPr>
        <w:spacing w:after="0" w:line="240" w:lineRule="auto"/>
      </w:pPr>
      <w:r>
        <w:separator/>
      </w:r>
    </w:p>
  </w:footnote>
  <w:footnote w:type="continuationSeparator" w:id="0">
    <w:p w14:paraId="582325B8" w14:textId="77777777" w:rsidR="00985BFB" w:rsidRDefault="00985B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23C1"/>
    <w:multiLevelType w:val="multilevel"/>
    <w:tmpl w:val="D18EB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671848"/>
    <w:multiLevelType w:val="hybridMultilevel"/>
    <w:tmpl w:val="3260015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764D308B"/>
    <w:multiLevelType w:val="hybridMultilevel"/>
    <w:tmpl w:val="F71E03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E4B6388"/>
    <w:multiLevelType w:val="hybridMultilevel"/>
    <w:tmpl w:val="9F7E0F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85771410">
    <w:abstractNumId w:val="2"/>
  </w:num>
  <w:num w:numId="2" w16cid:durableId="315502273">
    <w:abstractNumId w:val="3"/>
  </w:num>
  <w:num w:numId="3" w16cid:durableId="14074530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71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7BF"/>
    <w:rsid w:val="000025BD"/>
    <w:rsid w:val="00016999"/>
    <w:rsid w:val="00017DE0"/>
    <w:rsid w:val="00021356"/>
    <w:rsid w:val="0002187C"/>
    <w:rsid w:val="00034C16"/>
    <w:rsid w:val="0003574F"/>
    <w:rsid w:val="00052790"/>
    <w:rsid w:val="00055247"/>
    <w:rsid w:val="000651EB"/>
    <w:rsid w:val="00080242"/>
    <w:rsid w:val="00080F8A"/>
    <w:rsid w:val="00081B03"/>
    <w:rsid w:val="00095173"/>
    <w:rsid w:val="000B2195"/>
    <w:rsid w:val="000B464A"/>
    <w:rsid w:val="000D4892"/>
    <w:rsid w:val="000E1A2C"/>
    <w:rsid w:val="000E2335"/>
    <w:rsid w:val="000F0147"/>
    <w:rsid w:val="000F6271"/>
    <w:rsid w:val="00115872"/>
    <w:rsid w:val="001168D7"/>
    <w:rsid w:val="0012079D"/>
    <w:rsid w:val="00120B9F"/>
    <w:rsid w:val="00120E62"/>
    <w:rsid w:val="0012497B"/>
    <w:rsid w:val="00134E0D"/>
    <w:rsid w:val="00140ED2"/>
    <w:rsid w:val="00141B4C"/>
    <w:rsid w:val="001904E8"/>
    <w:rsid w:val="00194A3F"/>
    <w:rsid w:val="001A3702"/>
    <w:rsid w:val="001B17F3"/>
    <w:rsid w:val="001D6D28"/>
    <w:rsid w:val="001E0CDC"/>
    <w:rsid w:val="001E22BC"/>
    <w:rsid w:val="001E7155"/>
    <w:rsid w:val="001F62B9"/>
    <w:rsid w:val="00206106"/>
    <w:rsid w:val="00212244"/>
    <w:rsid w:val="00214CD8"/>
    <w:rsid w:val="00220379"/>
    <w:rsid w:val="00220603"/>
    <w:rsid w:val="00236944"/>
    <w:rsid w:val="00236E99"/>
    <w:rsid w:val="002614C0"/>
    <w:rsid w:val="00267DB4"/>
    <w:rsid w:val="0029346F"/>
    <w:rsid w:val="002A0E34"/>
    <w:rsid w:val="002A440A"/>
    <w:rsid w:val="002A652A"/>
    <w:rsid w:val="002C3F62"/>
    <w:rsid w:val="002D2D17"/>
    <w:rsid w:val="002D6451"/>
    <w:rsid w:val="002E6F39"/>
    <w:rsid w:val="002F5888"/>
    <w:rsid w:val="00306AEB"/>
    <w:rsid w:val="003102DB"/>
    <w:rsid w:val="00330BB5"/>
    <w:rsid w:val="003416B9"/>
    <w:rsid w:val="0034711A"/>
    <w:rsid w:val="0034765A"/>
    <w:rsid w:val="00353AE9"/>
    <w:rsid w:val="00353CA7"/>
    <w:rsid w:val="0036532E"/>
    <w:rsid w:val="003672F0"/>
    <w:rsid w:val="00375A27"/>
    <w:rsid w:val="00376CA5"/>
    <w:rsid w:val="003806D9"/>
    <w:rsid w:val="003878C9"/>
    <w:rsid w:val="00387C38"/>
    <w:rsid w:val="00396C3D"/>
    <w:rsid w:val="003B04D2"/>
    <w:rsid w:val="003B0E6E"/>
    <w:rsid w:val="003C3D1E"/>
    <w:rsid w:val="003C615F"/>
    <w:rsid w:val="003F32ED"/>
    <w:rsid w:val="0040160B"/>
    <w:rsid w:val="0040458C"/>
    <w:rsid w:val="004136AF"/>
    <w:rsid w:val="00424D49"/>
    <w:rsid w:val="004441D0"/>
    <w:rsid w:val="00451BEE"/>
    <w:rsid w:val="00474169"/>
    <w:rsid w:val="00483817"/>
    <w:rsid w:val="004879D9"/>
    <w:rsid w:val="004A464D"/>
    <w:rsid w:val="004A70C8"/>
    <w:rsid w:val="004A7C83"/>
    <w:rsid w:val="004B4638"/>
    <w:rsid w:val="004D2631"/>
    <w:rsid w:val="004E16B7"/>
    <w:rsid w:val="004E398E"/>
    <w:rsid w:val="004E4250"/>
    <w:rsid w:val="004E5217"/>
    <w:rsid w:val="005009B8"/>
    <w:rsid w:val="00501135"/>
    <w:rsid w:val="00503835"/>
    <w:rsid w:val="005077B7"/>
    <w:rsid w:val="005448FE"/>
    <w:rsid w:val="00546238"/>
    <w:rsid w:val="00555E15"/>
    <w:rsid w:val="005609D7"/>
    <w:rsid w:val="00566254"/>
    <w:rsid w:val="00567AE2"/>
    <w:rsid w:val="00567FA5"/>
    <w:rsid w:val="005712E7"/>
    <w:rsid w:val="00581ECE"/>
    <w:rsid w:val="0059499E"/>
    <w:rsid w:val="005B1A5D"/>
    <w:rsid w:val="005C6D7F"/>
    <w:rsid w:val="005D08F1"/>
    <w:rsid w:val="005D3720"/>
    <w:rsid w:val="005E089C"/>
    <w:rsid w:val="005F2ECA"/>
    <w:rsid w:val="00610529"/>
    <w:rsid w:val="006509EA"/>
    <w:rsid w:val="00654C3F"/>
    <w:rsid w:val="00671C25"/>
    <w:rsid w:val="0067705F"/>
    <w:rsid w:val="006801A7"/>
    <w:rsid w:val="00680824"/>
    <w:rsid w:val="00680DF0"/>
    <w:rsid w:val="00682FB0"/>
    <w:rsid w:val="00684B26"/>
    <w:rsid w:val="006927D0"/>
    <w:rsid w:val="00695C91"/>
    <w:rsid w:val="006960B3"/>
    <w:rsid w:val="006A52E1"/>
    <w:rsid w:val="006B0B39"/>
    <w:rsid w:val="006B5757"/>
    <w:rsid w:val="006B5E74"/>
    <w:rsid w:val="006C3D32"/>
    <w:rsid w:val="006C4C95"/>
    <w:rsid w:val="006C6138"/>
    <w:rsid w:val="006C63B2"/>
    <w:rsid w:val="006D54E0"/>
    <w:rsid w:val="006E29BB"/>
    <w:rsid w:val="00707507"/>
    <w:rsid w:val="00710D93"/>
    <w:rsid w:val="00712DC9"/>
    <w:rsid w:val="00713BF6"/>
    <w:rsid w:val="0072765C"/>
    <w:rsid w:val="00730FCC"/>
    <w:rsid w:val="00734DED"/>
    <w:rsid w:val="0073783D"/>
    <w:rsid w:val="00754E4F"/>
    <w:rsid w:val="00757990"/>
    <w:rsid w:val="00760CFD"/>
    <w:rsid w:val="007705F8"/>
    <w:rsid w:val="00777EA3"/>
    <w:rsid w:val="00797BAF"/>
    <w:rsid w:val="007B1004"/>
    <w:rsid w:val="007B7BB4"/>
    <w:rsid w:val="007C3B09"/>
    <w:rsid w:val="007C4BC6"/>
    <w:rsid w:val="007C774B"/>
    <w:rsid w:val="007E2D01"/>
    <w:rsid w:val="007E6B62"/>
    <w:rsid w:val="007E7C86"/>
    <w:rsid w:val="007F7731"/>
    <w:rsid w:val="00806BE6"/>
    <w:rsid w:val="008122D2"/>
    <w:rsid w:val="00825659"/>
    <w:rsid w:val="008312B7"/>
    <w:rsid w:val="0083428B"/>
    <w:rsid w:val="00835551"/>
    <w:rsid w:val="00853B4C"/>
    <w:rsid w:val="00853D68"/>
    <w:rsid w:val="008546C1"/>
    <w:rsid w:val="0086109E"/>
    <w:rsid w:val="00864C4E"/>
    <w:rsid w:val="008677D9"/>
    <w:rsid w:val="0087278A"/>
    <w:rsid w:val="008765D8"/>
    <w:rsid w:val="00882864"/>
    <w:rsid w:val="00884FF3"/>
    <w:rsid w:val="00886476"/>
    <w:rsid w:val="0088741A"/>
    <w:rsid w:val="00887F80"/>
    <w:rsid w:val="008908C1"/>
    <w:rsid w:val="00892906"/>
    <w:rsid w:val="008A2803"/>
    <w:rsid w:val="008A4AD9"/>
    <w:rsid w:val="008A7023"/>
    <w:rsid w:val="008D5343"/>
    <w:rsid w:val="008E1C50"/>
    <w:rsid w:val="008F704A"/>
    <w:rsid w:val="00902908"/>
    <w:rsid w:val="00910D76"/>
    <w:rsid w:val="0091514C"/>
    <w:rsid w:val="009229A3"/>
    <w:rsid w:val="009238F9"/>
    <w:rsid w:val="00926F30"/>
    <w:rsid w:val="0093141E"/>
    <w:rsid w:val="00962C89"/>
    <w:rsid w:val="00963CF5"/>
    <w:rsid w:val="00970F4B"/>
    <w:rsid w:val="00982B93"/>
    <w:rsid w:val="00985BFB"/>
    <w:rsid w:val="009874F3"/>
    <w:rsid w:val="0099076D"/>
    <w:rsid w:val="009C0E1D"/>
    <w:rsid w:val="009C167F"/>
    <w:rsid w:val="009C32F9"/>
    <w:rsid w:val="009D0679"/>
    <w:rsid w:val="009E10E0"/>
    <w:rsid w:val="009E14AA"/>
    <w:rsid w:val="009E5FDC"/>
    <w:rsid w:val="00A015F0"/>
    <w:rsid w:val="00A11D8A"/>
    <w:rsid w:val="00A140FF"/>
    <w:rsid w:val="00A165E8"/>
    <w:rsid w:val="00A174E8"/>
    <w:rsid w:val="00A23D1D"/>
    <w:rsid w:val="00A344C8"/>
    <w:rsid w:val="00A353BD"/>
    <w:rsid w:val="00A36D4F"/>
    <w:rsid w:val="00A4296A"/>
    <w:rsid w:val="00A54BAC"/>
    <w:rsid w:val="00A554A0"/>
    <w:rsid w:val="00A6674F"/>
    <w:rsid w:val="00A801D8"/>
    <w:rsid w:val="00A8616A"/>
    <w:rsid w:val="00A8767D"/>
    <w:rsid w:val="00A901C3"/>
    <w:rsid w:val="00A92FF0"/>
    <w:rsid w:val="00A95382"/>
    <w:rsid w:val="00AB1307"/>
    <w:rsid w:val="00AB52BE"/>
    <w:rsid w:val="00AB576C"/>
    <w:rsid w:val="00AC2466"/>
    <w:rsid w:val="00AC7118"/>
    <w:rsid w:val="00AD6F9E"/>
    <w:rsid w:val="00B140C3"/>
    <w:rsid w:val="00B14892"/>
    <w:rsid w:val="00B16A1F"/>
    <w:rsid w:val="00B26689"/>
    <w:rsid w:val="00B2725D"/>
    <w:rsid w:val="00B437AF"/>
    <w:rsid w:val="00B5248E"/>
    <w:rsid w:val="00B55E36"/>
    <w:rsid w:val="00B600C5"/>
    <w:rsid w:val="00B765CE"/>
    <w:rsid w:val="00B925DE"/>
    <w:rsid w:val="00BA1A5F"/>
    <w:rsid w:val="00BB2FF8"/>
    <w:rsid w:val="00BC1371"/>
    <w:rsid w:val="00BD4574"/>
    <w:rsid w:val="00BD7760"/>
    <w:rsid w:val="00BF2A50"/>
    <w:rsid w:val="00BF68BC"/>
    <w:rsid w:val="00C12EED"/>
    <w:rsid w:val="00C15244"/>
    <w:rsid w:val="00C164ED"/>
    <w:rsid w:val="00C25D5B"/>
    <w:rsid w:val="00C25F1A"/>
    <w:rsid w:val="00C341D6"/>
    <w:rsid w:val="00C36D5B"/>
    <w:rsid w:val="00C37444"/>
    <w:rsid w:val="00C377BF"/>
    <w:rsid w:val="00C4355B"/>
    <w:rsid w:val="00C4482A"/>
    <w:rsid w:val="00C479B8"/>
    <w:rsid w:val="00C51CAF"/>
    <w:rsid w:val="00C55EDA"/>
    <w:rsid w:val="00C56222"/>
    <w:rsid w:val="00C6132F"/>
    <w:rsid w:val="00C627AA"/>
    <w:rsid w:val="00C71ED6"/>
    <w:rsid w:val="00C7430F"/>
    <w:rsid w:val="00C92622"/>
    <w:rsid w:val="00C9688B"/>
    <w:rsid w:val="00CA189D"/>
    <w:rsid w:val="00CC0B23"/>
    <w:rsid w:val="00CC72D4"/>
    <w:rsid w:val="00CD19BD"/>
    <w:rsid w:val="00CD6E2A"/>
    <w:rsid w:val="00CD7F87"/>
    <w:rsid w:val="00CE34B8"/>
    <w:rsid w:val="00CE65AB"/>
    <w:rsid w:val="00CE6D71"/>
    <w:rsid w:val="00CF4613"/>
    <w:rsid w:val="00D02102"/>
    <w:rsid w:val="00D06657"/>
    <w:rsid w:val="00D141DA"/>
    <w:rsid w:val="00D369F3"/>
    <w:rsid w:val="00D4562F"/>
    <w:rsid w:val="00D51272"/>
    <w:rsid w:val="00D55609"/>
    <w:rsid w:val="00D61B76"/>
    <w:rsid w:val="00D62C51"/>
    <w:rsid w:val="00D65511"/>
    <w:rsid w:val="00D752BF"/>
    <w:rsid w:val="00DB0E99"/>
    <w:rsid w:val="00DB1BB6"/>
    <w:rsid w:val="00DB4977"/>
    <w:rsid w:val="00DD65F9"/>
    <w:rsid w:val="00DE0660"/>
    <w:rsid w:val="00DE5848"/>
    <w:rsid w:val="00DF4E06"/>
    <w:rsid w:val="00DF650B"/>
    <w:rsid w:val="00E04A52"/>
    <w:rsid w:val="00E121B4"/>
    <w:rsid w:val="00E15D69"/>
    <w:rsid w:val="00E16A08"/>
    <w:rsid w:val="00E27293"/>
    <w:rsid w:val="00E3289F"/>
    <w:rsid w:val="00E42D0E"/>
    <w:rsid w:val="00E4706B"/>
    <w:rsid w:val="00E52676"/>
    <w:rsid w:val="00E56625"/>
    <w:rsid w:val="00E61D91"/>
    <w:rsid w:val="00E62F1F"/>
    <w:rsid w:val="00E87D4B"/>
    <w:rsid w:val="00EB36BE"/>
    <w:rsid w:val="00EB46A4"/>
    <w:rsid w:val="00EB5698"/>
    <w:rsid w:val="00EC1F68"/>
    <w:rsid w:val="00ED79F7"/>
    <w:rsid w:val="00EF126A"/>
    <w:rsid w:val="00EF134A"/>
    <w:rsid w:val="00EF2581"/>
    <w:rsid w:val="00F21A68"/>
    <w:rsid w:val="00F25A1F"/>
    <w:rsid w:val="00F261D9"/>
    <w:rsid w:val="00F30557"/>
    <w:rsid w:val="00F34659"/>
    <w:rsid w:val="00F4450F"/>
    <w:rsid w:val="00F44534"/>
    <w:rsid w:val="00F47664"/>
    <w:rsid w:val="00F5140F"/>
    <w:rsid w:val="00F52CDA"/>
    <w:rsid w:val="00F720DC"/>
    <w:rsid w:val="00FB2720"/>
    <w:rsid w:val="00FB47A2"/>
    <w:rsid w:val="00FB513C"/>
    <w:rsid w:val="00FC0640"/>
    <w:rsid w:val="00FC49FB"/>
    <w:rsid w:val="00FC64C9"/>
    <w:rsid w:val="00FC7423"/>
    <w:rsid w:val="00FE0A5E"/>
    <w:rsid w:val="00FE7EAF"/>
    <w:rsid w:val="00FF3B6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0BB5F"/>
  <w15:chartTrackingRefBased/>
  <w15:docId w15:val="{12A98CDE-1027-46C3-AA51-B5B00BCA5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799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andard">
    <w:name w:val="Standard"/>
    <w:rsid w:val="00C377BF"/>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Kjene">
    <w:name w:val="footer"/>
    <w:basedOn w:val="Parasts"/>
    <w:link w:val="KjeneRakstz"/>
    <w:uiPriority w:val="99"/>
    <w:unhideWhenUsed/>
    <w:rsid w:val="00C377BF"/>
    <w:pPr>
      <w:tabs>
        <w:tab w:val="center" w:pos="4153"/>
        <w:tab w:val="right" w:pos="8306"/>
      </w:tabs>
      <w:spacing w:after="0" w:line="240" w:lineRule="auto"/>
    </w:pPr>
    <w:rPr>
      <w:rFonts w:ascii="Times New Roman" w:hAnsi="Times New Roman" w:cs="Calibri"/>
      <w:sz w:val="24"/>
      <w:szCs w:val="24"/>
    </w:rPr>
  </w:style>
  <w:style w:type="character" w:customStyle="1" w:styleId="KjeneRakstz">
    <w:name w:val="Kājene Rakstz."/>
    <w:basedOn w:val="Noklusjumarindkopasfonts"/>
    <w:link w:val="Kjene"/>
    <w:uiPriority w:val="99"/>
    <w:rsid w:val="00C377BF"/>
    <w:rPr>
      <w:rFonts w:ascii="Times New Roman" w:hAnsi="Times New Roman" w:cs="Calibri"/>
      <w:sz w:val="24"/>
      <w:szCs w:val="24"/>
    </w:rPr>
  </w:style>
  <w:style w:type="paragraph" w:styleId="Bezatstarpm">
    <w:name w:val="No Spacing"/>
    <w:uiPriority w:val="1"/>
    <w:qFormat/>
    <w:rsid w:val="00AC7118"/>
    <w:pPr>
      <w:spacing w:after="0" w:line="240" w:lineRule="auto"/>
    </w:pPr>
  </w:style>
  <w:style w:type="paragraph" w:styleId="Galvene">
    <w:name w:val="header"/>
    <w:basedOn w:val="Parasts"/>
    <w:link w:val="GalveneRakstz"/>
    <w:uiPriority w:val="99"/>
    <w:unhideWhenUsed/>
    <w:rsid w:val="00F25A1F"/>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F25A1F"/>
  </w:style>
  <w:style w:type="character" w:styleId="Komentraatsauce">
    <w:name w:val="annotation reference"/>
    <w:basedOn w:val="Noklusjumarindkopasfonts"/>
    <w:uiPriority w:val="99"/>
    <w:semiHidden/>
    <w:unhideWhenUsed/>
    <w:rsid w:val="00BB2FF8"/>
    <w:rPr>
      <w:sz w:val="16"/>
      <w:szCs w:val="16"/>
    </w:rPr>
  </w:style>
  <w:style w:type="paragraph" w:styleId="Komentrateksts">
    <w:name w:val="annotation text"/>
    <w:basedOn w:val="Parasts"/>
    <w:link w:val="KomentratekstsRakstz"/>
    <w:uiPriority w:val="99"/>
    <w:unhideWhenUsed/>
    <w:rsid w:val="00BB2FF8"/>
    <w:pPr>
      <w:spacing w:line="240" w:lineRule="auto"/>
    </w:pPr>
    <w:rPr>
      <w:sz w:val="20"/>
      <w:szCs w:val="20"/>
    </w:rPr>
  </w:style>
  <w:style w:type="character" w:customStyle="1" w:styleId="KomentratekstsRakstz">
    <w:name w:val="Komentāra teksts Rakstz."/>
    <w:basedOn w:val="Noklusjumarindkopasfonts"/>
    <w:link w:val="Komentrateksts"/>
    <w:uiPriority w:val="99"/>
    <w:rsid w:val="00BB2FF8"/>
    <w:rPr>
      <w:sz w:val="20"/>
      <w:szCs w:val="20"/>
    </w:rPr>
  </w:style>
  <w:style w:type="paragraph" w:styleId="Komentratma">
    <w:name w:val="annotation subject"/>
    <w:basedOn w:val="Komentrateksts"/>
    <w:next w:val="Komentrateksts"/>
    <w:link w:val="KomentratmaRakstz"/>
    <w:uiPriority w:val="99"/>
    <w:semiHidden/>
    <w:unhideWhenUsed/>
    <w:rsid w:val="00BB2FF8"/>
    <w:rPr>
      <w:b/>
      <w:bCs/>
    </w:rPr>
  </w:style>
  <w:style w:type="character" w:customStyle="1" w:styleId="KomentratmaRakstz">
    <w:name w:val="Komentāra tēma Rakstz."/>
    <w:basedOn w:val="KomentratekstsRakstz"/>
    <w:link w:val="Komentratma"/>
    <w:uiPriority w:val="99"/>
    <w:semiHidden/>
    <w:rsid w:val="00BB2FF8"/>
    <w:rPr>
      <w:b/>
      <w:bCs/>
      <w:sz w:val="20"/>
      <w:szCs w:val="20"/>
    </w:rPr>
  </w:style>
  <w:style w:type="paragraph" w:styleId="Balonteksts">
    <w:name w:val="Balloon Text"/>
    <w:basedOn w:val="Parasts"/>
    <w:link w:val="BalontekstsRakstz"/>
    <w:uiPriority w:val="99"/>
    <w:semiHidden/>
    <w:unhideWhenUsed/>
    <w:rsid w:val="00BB2FF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B2FF8"/>
    <w:rPr>
      <w:rFonts w:ascii="Segoe UI" w:hAnsi="Segoe UI" w:cs="Segoe UI"/>
      <w:sz w:val="18"/>
      <w:szCs w:val="18"/>
    </w:rPr>
  </w:style>
  <w:style w:type="paragraph" w:customStyle="1" w:styleId="tv213">
    <w:name w:val="tv213"/>
    <w:basedOn w:val="Parasts"/>
    <w:rsid w:val="006C613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ipersaite">
    <w:name w:val="Hyperlink"/>
    <w:basedOn w:val="Noklusjumarindkopasfonts"/>
    <w:uiPriority w:val="99"/>
    <w:unhideWhenUsed/>
    <w:rsid w:val="00194A3F"/>
    <w:rPr>
      <w:color w:val="0000FF"/>
      <w:u w:val="single"/>
    </w:rPr>
  </w:style>
  <w:style w:type="character" w:styleId="Neatrisintapieminana">
    <w:name w:val="Unresolved Mention"/>
    <w:basedOn w:val="Noklusjumarindkopasfonts"/>
    <w:uiPriority w:val="99"/>
    <w:semiHidden/>
    <w:unhideWhenUsed/>
    <w:rsid w:val="0091514C"/>
    <w:rPr>
      <w:color w:val="605E5C"/>
      <w:shd w:val="clear" w:color="auto" w:fill="E1DFDD"/>
    </w:rPr>
  </w:style>
  <w:style w:type="table" w:styleId="Reatabula">
    <w:name w:val="Table Grid"/>
    <w:basedOn w:val="Parastatabula"/>
    <w:uiPriority w:val="39"/>
    <w:rsid w:val="00910D76"/>
    <w:pPr>
      <w:spacing w:after="0" w:line="240" w:lineRule="auto"/>
    </w:pPr>
    <w:rPr>
      <w:rFonts w:ascii="Times New Roman" w:hAnsi="Times New Roman"/>
      <w:kern w:val="2"/>
      <w:sz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3049">
      <w:bodyDiv w:val="1"/>
      <w:marLeft w:val="0"/>
      <w:marRight w:val="0"/>
      <w:marTop w:val="0"/>
      <w:marBottom w:val="0"/>
      <w:divBdr>
        <w:top w:val="none" w:sz="0" w:space="0" w:color="auto"/>
        <w:left w:val="none" w:sz="0" w:space="0" w:color="auto"/>
        <w:bottom w:val="none" w:sz="0" w:space="0" w:color="auto"/>
        <w:right w:val="none" w:sz="0" w:space="0" w:color="auto"/>
      </w:divBdr>
    </w:div>
    <w:div w:id="181089168">
      <w:bodyDiv w:val="1"/>
      <w:marLeft w:val="0"/>
      <w:marRight w:val="0"/>
      <w:marTop w:val="0"/>
      <w:marBottom w:val="0"/>
      <w:divBdr>
        <w:top w:val="none" w:sz="0" w:space="0" w:color="auto"/>
        <w:left w:val="none" w:sz="0" w:space="0" w:color="auto"/>
        <w:bottom w:val="none" w:sz="0" w:space="0" w:color="auto"/>
        <w:right w:val="none" w:sz="0" w:space="0" w:color="auto"/>
      </w:divBdr>
    </w:div>
    <w:div w:id="230701635">
      <w:bodyDiv w:val="1"/>
      <w:marLeft w:val="0"/>
      <w:marRight w:val="0"/>
      <w:marTop w:val="0"/>
      <w:marBottom w:val="0"/>
      <w:divBdr>
        <w:top w:val="none" w:sz="0" w:space="0" w:color="auto"/>
        <w:left w:val="none" w:sz="0" w:space="0" w:color="auto"/>
        <w:bottom w:val="none" w:sz="0" w:space="0" w:color="auto"/>
        <w:right w:val="none" w:sz="0" w:space="0" w:color="auto"/>
      </w:divBdr>
    </w:div>
    <w:div w:id="459692787">
      <w:bodyDiv w:val="1"/>
      <w:marLeft w:val="0"/>
      <w:marRight w:val="0"/>
      <w:marTop w:val="0"/>
      <w:marBottom w:val="0"/>
      <w:divBdr>
        <w:top w:val="none" w:sz="0" w:space="0" w:color="auto"/>
        <w:left w:val="none" w:sz="0" w:space="0" w:color="auto"/>
        <w:bottom w:val="none" w:sz="0" w:space="0" w:color="auto"/>
        <w:right w:val="none" w:sz="0" w:space="0" w:color="auto"/>
      </w:divBdr>
    </w:div>
    <w:div w:id="496851143">
      <w:bodyDiv w:val="1"/>
      <w:marLeft w:val="0"/>
      <w:marRight w:val="0"/>
      <w:marTop w:val="0"/>
      <w:marBottom w:val="0"/>
      <w:divBdr>
        <w:top w:val="none" w:sz="0" w:space="0" w:color="auto"/>
        <w:left w:val="none" w:sz="0" w:space="0" w:color="auto"/>
        <w:bottom w:val="none" w:sz="0" w:space="0" w:color="auto"/>
        <w:right w:val="none" w:sz="0" w:space="0" w:color="auto"/>
      </w:divBdr>
    </w:div>
    <w:div w:id="596328943">
      <w:bodyDiv w:val="1"/>
      <w:marLeft w:val="0"/>
      <w:marRight w:val="0"/>
      <w:marTop w:val="0"/>
      <w:marBottom w:val="0"/>
      <w:divBdr>
        <w:top w:val="none" w:sz="0" w:space="0" w:color="auto"/>
        <w:left w:val="none" w:sz="0" w:space="0" w:color="auto"/>
        <w:bottom w:val="none" w:sz="0" w:space="0" w:color="auto"/>
        <w:right w:val="none" w:sz="0" w:space="0" w:color="auto"/>
      </w:divBdr>
    </w:div>
    <w:div w:id="624576732">
      <w:bodyDiv w:val="1"/>
      <w:marLeft w:val="0"/>
      <w:marRight w:val="0"/>
      <w:marTop w:val="0"/>
      <w:marBottom w:val="0"/>
      <w:divBdr>
        <w:top w:val="none" w:sz="0" w:space="0" w:color="auto"/>
        <w:left w:val="none" w:sz="0" w:space="0" w:color="auto"/>
        <w:bottom w:val="none" w:sz="0" w:space="0" w:color="auto"/>
        <w:right w:val="none" w:sz="0" w:space="0" w:color="auto"/>
      </w:divBdr>
    </w:div>
    <w:div w:id="769937513">
      <w:bodyDiv w:val="1"/>
      <w:marLeft w:val="0"/>
      <w:marRight w:val="0"/>
      <w:marTop w:val="0"/>
      <w:marBottom w:val="0"/>
      <w:divBdr>
        <w:top w:val="none" w:sz="0" w:space="0" w:color="auto"/>
        <w:left w:val="none" w:sz="0" w:space="0" w:color="auto"/>
        <w:bottom w:val="none" w:sz="0" w:space="0" w:color="auto"/>
        <w:right w:val="none" w:sz="0" w:space="0" w:color="auto"/>
      </w:divBdr>
    </w:div>
    <w:div w:id="785465585">
      <w:bodyDiv w:val="1"/>
      <w:marLeft w:val="0"/>
      <w:marRight w:val="0"/>
      <w:marTop w:val="0"/>
      <w:marBottom w:val="0"/>
      <w:divBdr>
        <w:top w:val="none" w:sz="0" w:space="0" w:color="auto"/>
        <w:left w:val="none" w:sz="0" w:space="0" w:color="auto"/>
        <w:bottom w:val="none" w:sz="0" w:space="0" w:color="auto"/>
        <w:right w:val="none" w:sz="0" w:space="0" w:color="auto"/>
      </w:divBdr>
    </w:div>
    <w:div w:id="1018241960">
      <w:bodyDiv w:val="1"/>
      <w:marLeft w:val="0"/>
      <w:marRight w:val="0"/>
      <w:marTop w:val="0"/>
      <w:marBottom w:val="0"/>
      <w:divBdr>
        <w:top w:val="none" w:sz="0" w:space="0" w:color="auto"/>
        <w:left w:val="none" w:sz="0" w:space="0" w:color="auto"/>
        <w:bottom w:val="none" w:sz="0" w:space="0" w:color="auto"/>
        <w:right w:val="none" w:sz="0" w:space="0" w:color="auto"/>
      </w:divBdr>
    </w:div>
    <w:div w:id="1026564497">
      <w:bodyDiv w:val="1"/>
      <w:marLeft w:val="0"/>
      <w:marRight w:val="0"/>
      <w:marTop w:val="0"/>
      <w:marBottom w:val="0"/>
      <w:divBdr>
        <w:top w:val="none" w:sz="0" w:space="0" w:color="auto"/>
        <w:left w:val="none" w:sz="0" w:space="0" w:color="auto"/>
        <w:bottom w:val="none" w:sz="0" w:space="0" w:color="auto"/>
        <w:right w:val="none" w:sz="0" w:space="0" w:color="auto"/>
      </w:divBdr>
    </w:div>
    <w:div w:id="1040326856">
      <w:bodyDiv w:val="1"/>
      <w:marLeft w:val="0"/>
      <w:marRight w:val="0"/>
      <w:marTop w:val="0"/>
      <w:marBottom w:val="0"/>
      <w:divBdr>
        <w:top w:val="none" w:sz="0" w:space="0" w:color="auto"/>
        <w:left w:val="none" w:sz="0" w:space="0" w:color="auto"/>
        <w:bottom w:val="none" w:sz="0" w:space="0" w:color="auto"/>
        <w:right w:val="none" w:sz="0" w:space="0" w:color="auto"/>
      </w:divBdr>
    </w:div>
    <w:div w:id="1047726102">
      <w:bodyDiv w:val="1"/>
      <w:marLeft w:val="0"/>
      <w:marRight w:val="0"/>
      <w:marTop w:val="0"/>
      <w:marBottom w:val="0"/>
      <w:divBdr>
        <w:top w:val="none" w:sz="0" w:space="0" w:color="auto"/>
        <w:left w:val="none" w:sz="0" w:space="0" w:color="auto"/>
        <w:bottom w:val="none" w:sz="0" w:space="0" w:color="auto"/>
        <w:right w:val="none" w:sz="0" w:space="0" w:color="auto"/>
      </w:divBdr>
    </w:div>
    <w:div w:id="1063064966">
      <w:bodyDiv w:val="1"/>
      <w:marLeft w:val="0"/>
      <w:marRight w:val="0"/>
      <w:marTop w:val="0"/>
      <w:marBottom w:val="0"/>
      <w:divBdr>
        <w:top w:val="none" w:sz="0" w:space="0" w:color="auto"/>
        <w:left w:val="none" w:sz="0" w:space="0" w:color="auto"/>
        <w:bottom w:val="none" w:sz="0" w:space="0" w:color="auto"/>
        <w:right w:val="none" w:sz="0" w:space="0" w:color="auto"/>
      </w:divBdr>
    </w:div>
    <w:div w:id="1446578340">
      <w:bodyDiv w:val="1"/>
      <w:marLeft w:val="0"/>
      <w:marRight w:val="0"/>
      <w:marTop w:val="0"/>
      <w:marBottom w:val="0"/>
      <w:divBdr>
        <w:top w:val="none" w:sz="0" w:space="0" w:color="auto"/>
        <w:left w:val="none" w:sz="0" w:space="0" w:color="auto"/>
        <w:bottom w:val="none" w:sz="0" w:space="0" w:color="auto"/>
        <w:right w:val="none" w:sz="0" w:space="0" w:color="auto"/>
      </w:divBdr>
    </w:div>
    <w:div w:id="1473131452">
      <w:bodyDiv w:val="1"/>
      <w:marLeft w:val="0"/>
      <w:marRight w:val="0"/>
      <w:marTop w:val="0"/>
      <w:marBottom w:val="0"/>
      <w:divBdr>
        <w:top w:val="none" w:sz="0" w:space="0" w:color="auto"/>
        <w:left w:val="none" w:sz="0" w:space="0" w:color="auto"/>
        <w:bottom w:val="none" w:sz="0" w:space="0" w:color="auto"/>
        <w:right w:val="none" w:sz="0" w:space="0" w:color="auto"/>
      </w:divBdr>
    </w:div>
    <w:div w:id="1614704487">
      <w:bodyDiv w:val="1"/>
      <w:marLeft w:val="0"/>
      <w:marRight w:val="0"/>
      <w:marTop w:val="0"/>
      <w:marBottom w:val="0"/>
      <w:divBdr>
        <w:top w:val="none" w:sz="0" w:space="0" w:color="auto"/>
        <w:left w:val="none" w:sz="0" w:space="0" w:color="auto"/>
        <w:bottom w:val="none" w:sz="0" w:space="0" w:color="auto"/>
        <w:right w:val="none" w:sz="0" w:space="0" w:color="auto"/>
      </w:divBdr>
    </w:div>
    <w:div w:id="1633630932">
      <w:bodyDiv w:val="1"/>
      <w:marLeft w:val="0"/>
      <w:marRight w:val="0"/>
      <w:marTop w:val="0"/>
      <w:marBottom w:val="0"/>
      <w:divBdr>
        <w:top w:val="none" w:sz="0" w:space="0" w:color="auto"/>
        <w:left w:val="none" w:sz="0" w:space="0" w:color="auto"/>
        <w:bottom w:val="none" w:sz="0" w:space="0" w:color="auto"/>
        <w:right w:val="none" w:sz="0" w:space="0" w:color="auto"/>
      </w:divBdr>
    </w:div>
    <w:div w:id="1675691689">
      <w:bodyDiv w:val="1"/>
      <w:marLeft w:val="0"/>
      <w:marRight w:val="0"/>
      <w:marTop w:val="0"/>
      <w:marBottom w:val="0"/>
      <w:divBdr>
        <w:top w:val="none" w:sz="0" w:space="0" w:color="auto"/>
        <w:left w:val="none" w:sz="0" w:space="0" w:color="auto"/>
        <w:bottom w:val="none" w:sz="0" w:space="0" w:color="auto"/>
        <w:right w:val="none" w:sz="0" w:space="0" w:color="auto"/>
      </w:divBdr>
    </w:div>
    <w:div w:id="1711951609">
      <w:bodyDiv w:val="1"/>
      <w:marLeft w:val="0"/>
      <w:marRight w:val="0"/>
      <w:marTop w:val="0"/>
      <w:marBottom w:val="0"/>
      <w:divBdr>
        <w:top w:val="none" w:sz="0" w:space="0" w:color="auto"/>
        <w:left w:val="none" w:sz="0" w:space="0" w:color="auto"/>
        <w:bottom w:val="none" w:sz="0" w:space="0" w:color="auto"/>
        <w:right w:val="none" w:sz="0" w:space="0" w:color="auto"/>
      </w:divBdr>
    </w:div>
    <w:div w:id="1800948686">
      <w:bodyDiv w:val="1"/>
      <w:marLeft w:val="0"/>
      <w:marRight w:val="0"/>
      <w:marTop w:val="0"/>
      <w:marBottom w:val="0"/>
      <w:divBdr>
        <w:top w:val="none" w:sz="0" w:space="0" w:color="auto"/>
        <w:left w:val="none" w:sz="0" w:space="0" w:color="auto"/>
        <w:bottom w:val="none" w:sz="0" w:space="0" w:color="auto"/>
        <w:right w:val="none" w:sz="0" w:space="0" w:color="auto"/>
      </w:divBdr>
    </w:div>
    <w:div w:id="1909924478">
      <w:bodyDiv w:val="1"/>
      <w:marLeft w:val="0"/>
      <w:marRight w:val="0"/>
      <w:marTop w:val="0"/>
      <w:marBottom w:val="0"/>
      <w:divBdr>
        <w:top w:val="none" w:sz="0" w:space="0" w:color="auto"/>
        <w:left w:val="none" w:sz="0" w:space="0" w:color="auto"/>
        <w:bottom w:val="none" w:sz="0" w:space="0" w:color="auto"/>
        <w:right w:val="none" w:sz="0" w:space="0" w:color="auto"/>
      </w:divBdr>
    </w:div>
    <w:div w:id="1911500377">
      <w:bodyDiv w:val="1"/>
      <w:marLeft w:val="0"/>
      <w:marRight w:val="0"/>
      <w:marTop w:val="0"/>
      <w:marBottom w:val="0"/>
      <w:divBdr>
        <w:top w:val="none" w:sz="0" w:space="0" w:color="auto"/>
        <w:left w:val="none" w:sz="0" w:space="0" w:color="auto"/>
        <w:bottom w:val="none" w:sz="0" w:space="0" w:color="auto"/>
        <w:right w:val="none" w:sz="0" w:space="0" w:color="auto"/>
      </w:divBdr>
    </w:div>
    <w:div w:id="1938441754">
      <w:bodyDiv w:val="1"/>
      <w:marLeft w:val="0"/>
      <w:marRight w:val="0"/>
      <w:marTop w:val="0"/>
      <w:marBottom w:val="0"/>
      <w:divBdr>
        <w:top w:val="none" w:sz="0" w:space="0" w:color="auto"/>
        <w:left w:val="none" w:sz="0" w:space="0" w:color="auto"/>
        <w:bottom w:val="none" w:sz="0" w:space="0" w:color="auto"/>
        <w:right w:val="none" w:sz="0" w:space="0" w:color="auto"/>
      </w:divBdr>
    </w:div>
    <w:div w:id="212218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6260</Words>
  <Characters>3569</Characters>
  <Application>Microsoft Office Word</Application>
  <DocSecurity>0</DocSecurity>
  <Lines>29</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TĒK</dc:creator>
  <cp:keywords/>
  <dc:description/>
  <cp:lastModifiedBy>Liene Jākobsone</cp:lastModifiedBy>
  <cp:revision>13</cp:revision>
  <cp:lastPrinted>2026-01-27T11:18:00Z</cp:lastPrinted>
  <dcterms:created xsi:type="dcterms:W3CDTF">2026-02-06T17:04:00Z</dcterms:created>
  <dcterms:modified xsi:type="dcterms:W3CDTF">2026-02-16T06:12:00Z</dcterms:modified>
</cp:coreProperties>
</file>